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C8F4B" w14:textId="0BFB4B7B" w:rsidR="002342F7" w:rsidRPr="00D61354" w:rsidRDefault="00D61354" w:rsidP="002342F7">
      <w:pPr>
        <w:pBdr>
          <w:bottom w:val="single" w:sz="6" w:space="1" w:color="auto"/>
        </w:pBdr>
        <w:jc w:val="center"/>
        <w:rPr>
          <w:rFonts w:ascii="Trajan Pro" w:hAnsi="Trajan Pro"/>
          <w:sz w:val="52"/>
          <w:szCs w:val="38"/>
        </w:rPr>
      </w:pPr>
      <w:r w:rsidRPr="00D61354">
        <w:rPr>
          <w:noProof/>
          <w:sz w:val="38"/>
          <w:szCs w:val="38"/>
          <w:lang w:val="en-PH" w:eastAsia="en-PH"/>
        </w:rPr>
        <mc:AlternateContent>
          <mc:Choice Requires="wps">
            <w:drawing>
              <wp:anchor distT="45720" distB="45720" distL="114300" distR="114300" simplePos="0" relativeHeight="251659264" behindDoc="0" locked="0" layoutInCell="1" allowOverlap="1" wp14:anchorId="09AC7A23" wp14:editId="69EF171D">
                <wp:simplePos x="0" y="0"/>
                <wp:positionH relativeFrom="margin">
                  <wp:align>center</wp:align>
                </wp:positionH>
                <wp:positionV relativeFrom="paragraph">
                  <wp:posOffset>483033</wp:posOffset>
                </wp:positionV>
                <wp:extent cx="59372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404620"/>
                        </a:xfrm>
                        <a:prstGeom prst="rect">
                          <a:avLst/>
                        </a:prstGeom>
                        <a:solidFill>
                          <a:schemeClr val="bg1">
                            <a:lumMod val="95000"/>
                          </a:schemeClr>
                        </a:solidFill>
                        <a:ln w="9525">
                          <a:noFill/>
                          <a:miter lim="800000"/>
                          <a:headEnd/>
                          <a:tailEnd/>
                        </a:ln>
                      </wps:spPr>
                      <wps:txbx>
                        <w:txbxContent>
                          <w:p w14:paraId="1F83570D" w14:textId="0F9E898A" w:rsidR="00C36009" w:rsidRDefault="00C36009" w:rsidP="006F07AE">
                            <w:pPr>
                              <w:ind w:right="-27"/>
                              <w:jc w:val="center"/>
                              <w:rPr>
                                <w:rFonts w:ascii="Arial"/>
                                <w:b/>
                                <w:sz w:val="28"/>
                              </w:rPr>
                            </w:pPr>
                            <w:r>
                              <w:rPr>
                                <w:rFonts w:ascii="Arial"/>
                                <w:b/>
                                <w:sz w:val="28"/>
                              </w:rPr>
                              <w:t>Summary Inflation Report</w:t>
                            </w:r>
                          </w:p>
                          <w:p w14:paraId="6C43166A" w14:textId="500F2808" w:rsidR="00C36009" w:rsidRDefault="00C36009"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725C9C51" w:rsidR="00C36009" w:rsidRPr="002342F7" w:rsidRDefault="00C36009" w:rsidP="006F07AE">
                            <w:pPr>
                              <w:ind w:right="-27"/>
                              <w:jc w:val="center"/>
                              <w:rPr>
                                <w:rFonts w:ascii="Arial"/>
                                <w:b/>
                                <w:sz w:val="28"/>
                              </w:rPr>
                            </w:pPr>
                            <w:r>
                              <w:rPr>
                                <w:rFonts w:ascii="Arial"/>
                                <w:b/>
                                <w:sz w:val="28"/>
                              </w:rPr>
                              <w:t>August</w:t>
                            </w:r>
                            <w:r>
                              <w:rPr>
                                <w:rFonts w:ascii="Arial"/>
                                <w:b/>
                                <w:spacing w:val="-1"/>
                                <w:sz w:val="28"/>
                              </w:rPr>
                              <w:t xml:space="preserve"> </w:t>
                            </w:r>
                            <w:r>
                              <w:rPr>
                                <w:rFonts w:ascii="Arial"/>
                                <w:b/>
                                <w:sz w:val="2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C7A23" id="_x0000_t202" coordsize="21600,21600" o:spt="202" path="m,l,21600r21600,l21600,xe">
                <v:stroke joinstyle="miter"/>
                <v:path gradientshapeok="t" o:connecttype="rect"/>
              </v:shapetype>
              <v:shape id="Text Box 2" o:spid="_x0000_s1026" type="#_x0000_t202" style="position:absolute;left:0;text-align:left;margin-left:0;margin-top:38.05pt;width:46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ajMgIAAEEEAAAOAAAAZHJzL2Uyb0RvYy54bWysU9tu2zAMfR+wfxD0vtjxkqYx4hRdugwD&#10;ugvQ7gNkWY6FSaImKbGzrx8lJ2m2vQ17ESSSOjw8JFd3g1bkIJyXYCo6neSUCMOhkWZX0W/P2ze3&#10;lPjATMMUGFHRo/D0bv361aq3pSigA9UIRxDE+LK3Fe1CsGWWed4JzfwErDDobMFpFvDpdlnjWI/o&#10;WmVFnt9kPbjGOuDCe7Q+jE66TvhtK3j40rZeBKIqitxCOl0663hm6xUrd47ZTvITDfYPLDSTBpNe&#10;oB5YYGTv5F9QWnIHHtow4aAzaFvJRaoBq5nmf1Tz1DErUi0ojrcXmfz/g+WfD18dkU1Fi+mCEsM0&#10;NulZDIG8g4EUUZ/e+hLDniwGhgHN2OdUq7ePwL97YmDTMbMT985B3wnWIL9p/JldfR1xfASp+0/Q&#10;YBq2D5CAhtbpKB7KQRAd+3S89CZS4WicL98uijm6OPqms3x2U6TuZaw8f7fOhw8CNImXijpsfoJn&#10;h0cfIh1WnkNiNg9KNlupVHrEgRMb5ciB4ajUu7FEtdfIdbQt53l+TpnmM4Yn1N+QlCF9RZfzYp6S&#10;G4gp0phpGXDWldQVvUWoEYyVUbH3pkkhgUk13pGsMicJo2qjfmGoBwyMutbQHFFMB+NM4w7ipQP3&#10;k5Ie57mi/seeOUGJ+miwIcvpbBYXID1m8wWqR9y1p772MMMRqqKBkvG6CWlpklT2Hhu3lUnSFyYn&#10;rjinSZPTTsVFuH6nqJfNX/8CAAD//wMAUEsDBBQABgAIAAAAIQAr8Pqd3gAAAAcBAAAPAAAAZHJz&#10;L2Rvd25yZXYueG1sTI/BbsIwEETvlfoP1lbqrTiACCVkg6pK9NBbKFHVmxMvSURsR7EJ4e+7PZXj&#10;zoxm3qa7yXRipMG3ziLMZxEIspXTra0Rjl/7l1cQPiirVecsIdzIwy57fEhVot3V5jQeQi24xPpE&#10;ITQh9ImUvmrIKD9zPVn2Tm4wKvA51FIP6srlppOLKIqlUa3lhUb19N5QdT5cDEI/xv7nQ98+y6I5&#10;rvI83hff5wLx+Wl624IINIX/MPzhMzpkzFS6i9VedAj8SEBYx3MQ7G6WKxZKhMVmvQSZpfKeP/sF&#10;AAD//wMAUEsBAi0AFAAGAAgAAAAhALaDOJL+AAAA4QEAABMAAAAAAAAAAAAAAAAAAAAAAFtDb250&#10;ZW50X1R5cGVzXS54bWxQSwECLQAUAAYACAAAACEAOP0h/9YAAACUAQAACwAAAAAAAAAAAAAAAAAv&#10;AQAAX3JlbHMvLnJlbHNQSwECLQAUAAYACAAAACEAq9+mozICAABBBAAADgAAAAAAAAAAAAAAAAAu&#10;AgAAZHJzL2Uyb0RvYy54bWxQSwECLQAUAAYACAAAACEAK/D6nd4AAAAHAQAADwAAAAAAAAAAAAAA&#10;AACMBAAAZHJzL2Rvd25yZXYueG1sUEsFBgAAAAAEAAQA8wAAAJcFAAAAAA==&#10;" fillcolor="#f2f2f2 [3052]" stroked="f">
                <v:textbox style="mso-fit-shape-to-text:t">
                  <w:txbxContent>
                    <w:p w14:paraId="1F83570D" w14:textId="0F9E898A" w:rsidR="00C36009" w:rsidRDefault="00C36009" w:rsidP="006F07AE">
                      <w:pPr>
                        <w:ind w:right="-27"/>
                        <w:jc w:val="center"/>
                        <w:rPr>
                          <w:rFonts w:ascii="Arial"/>
                          <w:b/>
                          <w:sz w:val="28"/>
                        </w:rPr>
                      </w:pPr>
                      <w:r>
                        <w:rPr>
                          <w:rFonts w:ascii="Arial"/>
                          <w:b/>
                          <w:sz w:val="28"/>
                        </w:rPr>
                        <w:t>Summary Inflation Report</w:t>
                      </w:r>
                    </w:p>
                    <w:p w14:paraId="6C43166A" w14:textId="500F2808" w:rsidR="00C36009" w:rsidRDefault="00C36009"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725C9C51" w:rsidR="00C36009" w:rsidRPr="002342F7" w:rsidRDefault="00C36009" w:rsidP="006F07AE">
                      <w:pPr>
                        <w:ind w:right="-27"/>
                        <w:jc w:val="center"/>
                        <w:rPr>
                          <w:rFonts w:ascii="Arial"/>
                          <w:b/>
                          <w:sz w:val="28"/>
                        </w:rPr>
                      </w:pPr>
                      <w:r>
                        <w:rPr>
                          <w:rFonts w:ascii="Arial"/>
                          <w:b/>
                          <w:sz w:val="28"/>
                        </w:rPr>
                        <w:t>August</w:t>
                      </w:r>
                      <w:r>
                        <w:rPr>
                          <w:rFonts w:ascii="Arial"/>
                          <w:b/>
                          <w:spacing w:val="-1"/>
                          <w:sz w:val="28"/>
                        </w:rPr>
                        <w:t xml:space="preserve"> </w:t>
                      </w:r>
                      <w:r>
                        <w:rPr>
                          <w:rFonts w:ascii="Arial"/>
                          <w:b/>
                          <w:sz w:val="28"/>
                        </w:rPr>
                        <w:t>2023</w:t>
                      </w:r>
                    </w:p>
                  </w:txbxContent>
                </v:textbox>
                <w10:wrap type="square" anchorx="margin"/>
              </v:shape>
            </w:pict>
          </mc:Fallback>
        </mc:AlternateContent>
      </w:r>
      <w:r w:rsidR="009C7B9D">
        <w:rPr>
          <w:rFonts w:ascii="Trajan Pro" w:hAnsi="Trajan Pro"/>
          <w:sz w:val="52"/>
          <w:szCs w:val="38"/>
        </w:rPr>
        <w:t xml:space="preserve"> </w:t>
      </w:r>
      <w:r w:rsidR="00FD1AD9">
        <w:rPr>
          <w:rFonts w:ascii="Trajan Pro" w:hAnsi="Trajan Pro"/>
          <w:sz w:val="52"/>
          <w:szCs w:val="38"/>
        </w:rPr>
        <w:t xml:space="preserve"> </w:t>
      </w:r>
      <w:r w:rsidR="002342F7" w:rsidRPr="00D61354">
        <w:rPr>
          <w:rFonts w:ascii="Trajan Pro" w:hAnsi="Trajan Pro"/>
          <w:sz w:val="52"/>
          <w:szCs w:val="38"/>
        </w:rPr>
        <w:t>SPECIAL RELEASE</w:t>
      </w:r>
    </w:p>
    <w:p w14:paraId="3F05CBF3" w14:textId="77777777" w:rsidR="00A91856" w:rsidRDefault="00A91856" w:rsidP="002342F7">
      <w:pPr>
        <w:rPr>
          <w:sz w:val="24"/>
          <w:szCs w:val="24"/>
        </w:rPr>
      </w:pPr>
    </w:p>
    <w:p w14:paraId="4634219C" w14:textId="0777B8D1" w:rsidR="00AC3E7D" w:rsidRPr="00D61354" w:rsidRDefault="00AC3E7D" w:rsidP="002342F7">
      <w:pPr>
        <w:rPr>
          <w:sz w:val="24"/>
          <w:szCs w:val="24"/>
        </w:rPr>
      </w:pPr>
      <w:r w:rsidRPr="00D61354">
        <w:rPr>
          <w:sz w:val="24"/>
          <w:szCs w:val="24"/>
        </w:rPr>
        <w:t xml:space="preserve">Date of Release: </w:t>
      </w:r>
      <w:r w:rsidR="000F5CF2">
        <w:rPr>
          <w:b/>
          <w:sz w:val="24"/>
          <w:szCs w:val="24"/>
        </w:rPr>
        <w:t>06 September</w:t>
      </w:r>
      <w:r w:rsidR="0036500E">
        <w:rPr>
          <w:b/>
          <w:sz w:val="24"/>
          <w:szCs w:val="24"/>
        </w:rPr>
        <w:t xml:space="preserve"> 2023</w:t>
      </w:r>
    </w:p>
    <w:p w14:paraId="2DA32C2F" w14:textId="72EE5CFA" w:rsidR="00AC3E7D" w:rsidRPr="00D61354" w:rsidRDefault="005C3AEA" w:rsidP="002342F7">
      <w:pPr>
        <w:rPr>
          <w:sz w:val="24"/>
          <w:szCs w:val="24"/>
        </w:rPr>
      </w:pPr>
      <w:r>
        <w:rPr>
          <w:sz w:val="24"/>
          <w:szCs w:val="24"/>
        </w:rPr>
        <w:t xml:space="preserve">Reference Number: </w:t>
      </w:r>
      <w:r w:rsidR="000F5CF2">
        <w:rPr>
          <w:b/>
          <w:sz w:val="24"/>
          <w:szCs w:val="24"/>
        </w:rPr>
        <w:t>SR-2023-09PSO24-024</w:t>
      </w:r>
    </w:p>
    <w:p w14:paraId="72E2EB04" w14:textId="186F0123" w:rsidR="00B33F7A" w:rsidRDefault="00B33F7A" w:rsidP="002342F7">
      <w:pPr>
        <w:rPr>
          <w:sz w:val="28"/>
          <w:szCs w:val="28"/>
        </w:rPr>
      </w:pPr>
    </w:p>
    <w:p w14:paraId="358D7216" w14:textId="4B5C85C5" w:rsidR="00F238C9" w:rsidRPr="00D61354" w:rsidRDefault="00F238C9" w:rsidP="00D61354">
      <w:pPr>
        <w:ind w:right="4"/>
        <w:jc w:val="center"/>
        <w:rPr>
          <w:rFonts w:ascii="Arial"/>
          <w:b/>
          <w:sz w:val="28"/>
        </w:rPr>
      </w:pPr>
      <w:r w:rsidRPr="00D61354">
        <w:rPr>
          <w:rFonts w:ascii="Arial"/>
          <w:b/>
          <w:sz w:val="28"/>
        </w:rPr>
        <w:t>Table A. Year-on-Year</w:t>
      </w:r>
      <w:r w:rsidR="00D61354">
        <w:rPr>
          <w:rFonts w:ascii="Arial"/>
          <w:b/>
          <w:sz w:val="28"/>
        </w:rPr>
        <w:t xml:space="preserve"> </w:t>
      </w:r>
      <w:r w:rsidRPr="00D61354">
        <w:rPr>
          <w:rFonts w:ascii="Arial"/>
          <w:b/>
          <w:sz w:val="28"/>
        </w:rPr>
        <w:t>Inflation Rates, All Items</w:t>
      </w:r>
    </w:p>
    <w:p w14:paraId="0E5E97C7" w14:textId="28447256" w:rsidR="00F238C9" w:rsidRDefault="001D3C14" w:rsidP="00D61354">
      <w:pPr>
        <w:ind w:left="2837" w:right="2856"/>
        <w:jc w:val="center"/>
        <w:rPr>
          <w:rFonts w:ascii="Arial"/>
          <w:b/>
          <w:sz w:val="24"/>
          <w:szCs w:val="20"/>
        </w:rPr>
      </w:pPr>
      <w:r>
        <w:rPr>
          <w:rFonts w:ascii="Arial"/>
          <w:b/>
          <w:sz w:val="24"/>
          <w:szCs w:val="20"/>
        </w:rPr>
        <w:t>In Percent (2018=100)</w:t>
      </w:r>
    </w:p>
    <w:p w14:paraId="2FBE8BC6" w14:textId="77777777" w:rsidR="00D61354" w:rsidRPr="00D61354" w:rsidRDefault="00D61354" w:rsidP="00D61354">
      <w:pPr>
        <w:ind w:left="2837" w:right="2856"/>
        <w:jc w:val="center"/>
        <w:rPr>
          <w:rFonts w:ascii="Arial"/>
          <w:b/>
          <w:sz w:val="24"/>
          <w:szCs w:val="20"/>
        </w:rPr>
      </w:pPr>
    </w:p>
    <w:tbl>
      <w:tblPr>
        <w:tblStyle w:val="TableGrid"/>
        <w:tblW w:w="9471" w:type="dxa"/>
        <w:tblInd w:w="-303" w:type="dxa"/>
        <w:tblLook w:val="04A0" w:firstRow="1" w:lastRow="0" w:firstColumn="1" w:lastColumn="0" w:noHBand="0" w:noVBand="1"/>
      </w:tblPr>
      <w:tblGrid>
        <w:gridCol w:w="2043"/>
        <w:gridCol w:w="1725"/>
        <w:gridCol w:w="1835"/>
        <w:gridCol w:w="1837"/>
        <w:gridCol w:w="2031"/>
      </w:tblGrid>
      <w:tr w:rsidR="005A77A4" w14:paraId="3B50B0C5" w14:textId="77777777" w:rsidTr="005A77A4">
        <w:trPr>
          <w:trHeight w:val="440"/>
        </w:trPr>
        <w:tc>
          <w:tcPr>
            <w:tcW w:w="0" w:type="auto"/>
            <w:shd w:val="clear" w:color="auto" w:fill="385623" w:themeFill="accent6" w:themeFillShade="80"/>
            <w:vAlign w:val="center"/>
          </w:tcPr>
          <w:p w14:paraId="75D10CED" w14:textId="33BBEFBE" w:rsidR="005A77A4" w:rsidRPr="00F238C9" w:rsidRDefault="005A77A4" w:rsidP="00CD517E">
            <w:pPr>
              <w:pStyle w:val="TableParagraph"/>
              <w:spacing w:before="0"/>
              <w:ind w:left="0"/>
              <w:jc w:val="center"/>
              <w:rPr>
                <w:rFonts w:ascii="Arial" w:hAnsi="Arial" w:cs="Arial"/>
                <w:color w:val="385623" w:themeColor="accent6" w:themeShade="80"/>
                <w:sz w:val="28"/>
                <w:szCs w:val="24"/>
              </w:rPr>
            </w:pPr>
            <w:r w:rsidRPr="00F238C9">
              <w:rPr>
                <w:rFonts w:ascii="Arial" w:hAnsi="Arial" w:cs="Arial"/>
                <w:b/>
                <w:color w:val="FFFFFF"/>
                <w:spacing w:val="14"/>
                <w:w w:val="105"/>
                <w:sz w:val="28"/>
                <w:szCs w:val="24"/>
              </w:rPr>
              <w:t>Area</w:t>
            </w:r>
          </w:p>
        </w:tc>
        <w:tc>
          <w:tcPr>
            <w:tcW w:w="1725" w:type="dxa"/>
            <w:shd w:val="clear" w:color="auto" w:fill="385623" w:themeFill="accent6" w:themeFillShade="80"/>
            <w:vAlign w:val="center"/>
          </w:tcPr>
          <w:p w14:paraId="50C4F4D0" w14:textId="2CF145D8" w:rsidR="005A77A4" w:rsidRPr="00F238C9" w:rsidRDefault="000F5CF2" w:rsidP="00CD517E">
            <w:pPr>
              <w:jc w:val="center"/>
              <w:rPr>
                <w:rFonts w:ascii="Arial" w:hAnsi="Arial" w:cs="Arial"/>
                <w:b/>
                <w:color w:val="FFFFFF"/>
                <w:spacing w:val="11"/>
                <w:w w:val="105"/>
                <w:sz w:val="28"/>
                <w:szCs w:val="24"/>
              </w:rPr>
            </w:pPr>
            <w:r>
              <w:rPr>
                <w:rFonts w:ascii="Arial" w:hAnsi="Arial" w:cs="Arial"/>
                <w:b/>
                <w:color w:val="FFFFFF"/>
                <w:spacing w:val="11"/>
                <w:w w:val="105"/>
                <w:sz w:val="28"/>
                <w:szCs w:val="24"/>
              </w:rPr>
              <w:t>August</w:t>
            </w:r>
          </w:p>
          <w:p w14:paraId="6FE9D702" w14:textId="540AA3AC" w:rsidR="005A77A4" w:rsidRPr="00F238C9" w:rsidRDefault="005A77A4" w:rsidP="00CD517E">
            <w:pPr>
              <w:jc w:val="center"/>
              <w:rPr>
                <w:rFonts w:ascii="Arial" w:hAnsi="Arial" w:cs="Arial"/>
                <w:color w:val="385623" w:themeColor="accent6" w:themeShade="80"/>
                <w:sz w:val="28"/>
                <w:szCs w:val="24"/>
              </w:rPr>
            </w:pPr>
            <w:r>
              <w:rPr>
                <w:rFonts w:ascii="Arial" w:hAnsi="Arial" w:cs="Arial"/>
                <w:b/>
                <w:color w:val="FFFFFF"/>
                <w:spacing w:val="16"/>
                <w:w w:val="105"/>
                <w:sz w:val="28"/>
                <w:szCs w:val="24"/>
              </w:rPr>
              <w:t>2022</w:t>
            </w:r>
          </w:p>
        </w:tc>
        <w:tc>
          <w:tcPr>
            <w:tcW w:w="1835" w:type="dxa"/>
            <w:shd w:val="clear" w:color="auto" w:fill="385623" w:themeFill="accent6" w:themeFillShade="80"/>
            <w:vAlign w:val="center"/>
          </w:tcPr>
          <w:p w14:paraId="3B2C2C74" w14:textId="194FE492" w:rsidR="005A77A4" w:rsidRPr="00F238C9" w:rsidRDefault="000F5CF2" w:rsidP="00CD517E">
            <w:pPr>
              <w:jc w:val="center"/>
              <w:rPr>
                <w:rFonts w:ascii="Arial" w:hAnsi="Arial" w:cs="Arial"/>
                <w:b/>
                <w:color w:val="FFFFFF"/>
                <w:spacing w:val="11"/>
                <w:w w:val="105"/>
                <w:sz w:val="28"/>
                <w:szCs w:val="24"/>
              </w:rPr>
            </w:pPr>
            <w:r>
              <w:rPr>
                <w:rFonts w:ascii="Arial" w:hAnsi="Arial" w:cs="Arial"/>
                <w:b/>
                <w:color w:val="FFFFFF"/>
                <w:spacing w:val="11"/>
                <w:w w:val="105"/>
                <w:sz w:val="28"/>
                <w:szCs w:val="24"/>
              </w:rPr>
              <w:t>July</w:t>
            </w:r>
          </w:p>
          <w:p w14:paraId="2B8D7DDB" w14:textId="28B22DCB" w:rsidR="005A77A4" w:rsidRDefault="005A77A4" w:rsidP="00CD517E">
            <w:pPr>
              <w:jc w:val="center"/>
              <w:rPr>
                <w:rFonts w:ascii="Arial" w:hAnsi="Arial" w:cs="Arial"/>
                <w:b/>
                <w:color w:val="FFFFFF"/>
                <w:spacing w:val="11"/>
                <w:w w:val="105"/>
                <w:sz w:val="28"/>
                <w:szCs w:val="24"/>
              </w:rPr>
            </w:pPr>
            <w:r>
              <w:rPr>
                <w:rFonts w:ascii="Arial" w:hAnsi="Arial" w:cs="Arial"/>
                <w:b/>
                <w:color w:val="FFFFFF"/>
                <w:spacing w:val="16"/>
                <w:w w:val="105"/>
                <w:sz w:val="28"/>
                <w:szCs w:val="24"/>
              </w:rPr>
              <w:t>2023</w:t>
            </w:r>
          </w:p>
        </w:tc>
        <w:tc>
          <w:tcPr>
            <w:tcW w:w="1837" w:type="dxa"/>
            <w:shd w:val="clear" w:color="auto" w:fill="385623" w:themeFill="accent6" w:themeFillShade="80"/>
            <w:vAlign w:val="center"/>
          </w:tcPr>
          <w:p w14:paraId="63650F7E" w14:textId="353869D1" w:rsidR="005A77A4" w:rsidRPr="00F238C9" w:rsidRDefault="000F5CF2" w:rsidP="00CD517E">
            <w:pPr>
              <w:jc w:val="center"/>
              <w:rPr>
                <w:rFonts w:ascii="Arial" w:hAnsi="Arial" w:cs="Arial"/>
                <w:b/>
                <w:color w:val="FFFFFF"/>
                <w:spacing w:val="11"/>
                <w:w w:val="105"/>
                <w:sz w:val="28"/>
                <w:szCs w:val="24"/>
              </w:rPr>
            </w:pPr>
            <w:r>
              <w:rPr>
                <w:rFonts w:ascii="Arial" w:hAnsi="Arial" w:cs="Arial"/>
                <w:b/>
                <w:color w:val="FFFFFF"/>
                <w:spacing w:val="11"/>
                <w:w w:val="105"/>
                <w:sz w:val="28"/>
                <w:szCs w:val="24"/>
              </w:rPr>
              <w:t>August</w:t>
            </w:r>
          </w:p>
          <w:p w14:paraId="4F6917D5" w14:textId="6E0838A8" w:rsidR="005A77A4" w:rsidRPr="00F238C9" w:rsidRDefault="005A77A4" w:rsidP="00CD517E">
            <w:pPr>
              <w:jc w:val="center"/>
              <w:rPr>
                <w:rFonts w:ascii="Arial" w:hAnsi="Arial" w:cs="Arial"/>
                <w:color w:val="385623" w:themeColor="accent6" w:themeShade="80"/>
                <w:sz w:val="28"/>
                <w:szCs w:val="24"/>
              </w:rPr>
            </w:pPr>
            <w:r>
              <w:rPr>
                <w:rFonts w:ascii="Arial" w:hAnsi="Arial" w:cs="Arial"/>
                <w:b/>
                <w:color w:val="FFFFFF"/>
                <w:spacing w:val="16"/>
                <w:w w:val="105"/>
                <w:sz w:val="28"/>
                <w:szCs w:val="24"/>
              </w:rPr>
              <w:t>2023</w:t>
            </w:r>
          </w:p>
        </w:tc>
        <w:tc>
          <w:tcPr>
            <w:tcW w:w="2031" w:type="dxa"/>
            <w:shd w:val="clear" w:color="auto" w:fill="385623" w:themeFill="accent6" w:themeFillShade="80"/>
            <w:vAlign w:val="center"/>
          </w:tcPr>
          <w:p w14:paraId="6D5672E4" w14:textId="77777777" w:rsidR="005A77A4" w:rsidRPr="00F238C9" w:rsidRDefault="005A77A4" w:rsidP="00CD517E">
            <w:pPr>
              <w:pStyle w:val="TableParagraph"/>
              <w:spacing w:before="0"/>
              <w:ind w:left="257" w:right="235"/>
              <w:jc w:val="center"/>
              <w:rPr>
                <w:rFonts w:ascii="Arial" w:hAnsi="Arial" w:cs="Arial"/>
                <w:b/>
                <w:sz w:val="28"/>
                <w:szCs w:val="24"/>
              </w:rPr>
            </w:pPr>
            <w:r w:rsidRPr="00F238C9">
              <w:rPr>
                <w:rFonts w:ascii="Arial" w:hAnsi="Arial" w:cs="Arial"/>
                <w:b/>
                <w:color w:val="FFFFFF"/>
                <w:spacing w:val="14"/>
                <w:w w:val="105"/>
                <w:sz w:val="28"/>
                <w:szCs w:val="24"/>
              </w:rPr>
              <w:t>Year-</w:t>
            </w:r>
          </w:p>
          <w:p w14:paraId="0DC435CD" w14:textId="28828F30" w:rsidR="005A77A4" w:rsidRPr="00F238C9" w:rsidRDefault="005A77A4" w:rsidP="00CD517E">
            <w:pPr>
              <w:jc w:val="center"/>
              <w:rPr>
                <w:rFonts w:ascii="Arial" w:hAnsi="Arial" w:cs="Arial"/>
                <w:color w:val="385623" w:themeColor="accent6" w:themeShade="80"/>
                <w:sz w:val="28"/>
                <w:szCs w:val="24"/>
              </w:rPr>
            </w:pPr>
            <w:r w:rsidRPr="00F238C9">
              <w:rPr>
                <w:rFonts w:ascii="Arial" w:hAnsi="Arial" w:cs="Arial"/>
                <w:b/>
                <w:color w:val="FFFFFF"/>
                <w:spacing w:val="16"/>
                <w:w w:val="105"/>
                <w:sz w:val="28"/>
                <w:szCs w:val="24"/>
              </w:rPr>
              <w:t>to-date*</w:t>
            </w:r>
          </w:p>
        </w:tc>
      </w:tr>
      <w:tr w:rsidR="000F5CF2" w14:paraId="069AA3DB" w14:textId="77777777" w:rsidTr="005A77A4">
        <w:trPr>
          <w:trHeight w:val="297"/>
        </w:trPr>
        <w:tc>
          <w:tcPr>
            <w:tcW w:w="0" w:type="auto"/>
          </w:tcPr>
          <w:p w14:paraId="219A515B" w14:textId="2ED68740" w:rsidR="000F5CF2" w:rsidRPr="00F238C9" w:rsidRDefault="000F5CF2" w:rsidP="000F5CF2">
            <w:pPr>
              <w:rPr>
                <w:rFonts w:ascii="Arial" w:hAnsi="Arial" w:cs="Arial"/>
                <w:sz w:val="28"/>
                <w:szCs w:val="24"/>
              </w:rPr>
            </w:pPr>
            <w:r w:rsidRPr="00F238C9">
              <w:rPr>
                <w:rFonts w:ascii="Arial" w:hAnsi="Arial" w:cs="Arial"/>
                <w:sz w:val="28"/>
                <w:szCs w:val="24"/>
              </w:rPr>
              <w:t>Philippines</w:t>
            </w:r>
          </w:p>
        </w:tc>
        <w:tc>
          <w:tcPr>
            <w:tcW w:w="1725" w:type="dxa"/>
            <w:vAlign w:val="bottom"/>
          </w:tcPr>
          <w:p w14:paraId="382FD717" w14:textId="29CEA6AC" w:rsidR="000F5CF2" w:rsidRPr="00F238C9" w:rsidRDefault="000F5CF2" w:rsidP="000F5CF2">
            <w:pPr>
              <w:jc w:val="center"/>
              <w:rPr>
                <w:rFonts w:ascii="Arial" w:hAnsi="Arial" w:cs="Arial"/>
                <w:sz w:val="28"/>
                <w:szCs w:val="24"/>
              </w:rPr>
            </w:pPr>
            <w:r>
              <w:rPr>
                <w:rFonts w:ascii="Arial" w:hAnsi="Arial" w:cs="Arial"/>
                <w:sz w:val="28"/>
                <w:szCs w:val="24"/>
              </w:rPr>
              <w:t>6.3</w:t>
            </w:r>
          </w:p>
        </w:tc>
        <w:tc>
          <w:tcPr>
            <w:tcW w:w="1835" w:type="dxa"/>
            <w:vAlign w:val="center"/>
          </w:tcPr>
          <w:p w14:paraId="2A6D1623" w14:textId="599B7CDE" w:rsidR="000F5CF2" w:rsidRDefault="000F5CF2" w:rsidP="000F5CF2">
            <w:pPr>
              <w:jc w:val="center"/>
              <w:rPr>
                <w:rFonts w:ascii="Arial" w:hAnsi="Arial" w:cs="Arial"/>
                <w:sz w:val="28"/>
                <w:szCs w:val="24"/>
              </w:rPr>
            </w:pPr>
            <w:r>
              <w:rPr>
                <w:rFonts w:ascii="Arial" w:hAnsi="Arial" w:cs="Arial"/>
                <w:sz w:val="28"/>
                <w:szCs w:val="24"/>
              </w:rPr>
              <w:t>4.7</w:t>
            </w:r>
          </w:p>
        </w:tc>
        <w:tc>
          <w:tcPr>
            <w:tcW w:w="1837" w:type="dxa"/>
            <w:vAlign w:val="center"/>
          </w:tcPr>
          <w:p w14:paraId="34B22DE8" w14:textId="3B4C438A" w:rsidR="000F5CF2" w:rsidRPr="00F238C9" w:rsidRDefault="000F5CF2" w:rsidP="000F5CF2">
            <w:pPr>
              <w:jc w:val="center"/>
              <w:rPr>
                <w:rFonts w:ascii="Arial" w:hAnsi="Arial" w:cs="Arial"/>
                <w:sz w:val="28"/>
                <w:szCs w:val="24"/>
              </w:rPr>
            </w:pPr>
            <w:r>
              <w:rPr>
                <w:rFonts w:ascii="Arial" w:hAnsi="Arial" w:cs="Arial"/>
                <w:sz w:val="28"/>
                <w:szCs w:val="24"/>
              </w:rPr>
              <w:t>5.3</w:t>
            </w:r>
          </w:p>
        </w:tc>
        <w:tc>
          <w:tcPr>
            <w:tcW w:w="2031" w:type="dxa"/>
            <w:vAlign w:val="center"/>
          </w:tcPr>
          <w:p w14:paraId="3297DA33" w14:textId="56C3C9E7" w:rsidR="000F5CF2" w:rsidRPr="009C6FF4" w:rsidRDefault="000F5CF2" w:rsidP="000F5CF2">
            <w:pPr>
              <w:jc w:val="center"/>
              <w:rPr>
                <w:rFonts w:ascii="Arial" w:hAnsi="Arial" w:cs="Arial"/>
                <w:sz w:val="28"/>
                <w:szCs w:val="28"/>
              </w:rPr>
            </w:pPr>
            <w:r>
              <w:rPr>
                <w:rFonts w:ascii="Arial" w:hAnsi="Arial" w:cs="Arial"/>
                <w:sz w:val="28"/>
                <w:szCs w:val="28"/>
              </w:rPr>
              <w:t>6.6</w:t>
            </w:r>
          </w:p>
        </w:tc>
      </w:tr>
      <w:tr w:rsidR="000F5CF2" w14:paraId="4525A7DA" w14:textId="77777777" w:rsidTr="005A77A4">
        <w:trPr>
          <w:trHeight w:val="305"/>
        </w:trPr>
        <w:tc>
          <w:tcPr>
            <w:tcW w:w="0" w:type="auto"/>
          </w:tcPr>
          <w:p w14:paraId="758CCD6A" w14:textId="65957C80" w:rsidR="000F5CF2" w:rsidRPr="00F238C9" w:rsidRDefault="000F5CF2" w:rsidP="000F5CF2">
            <w:pPr>
              <w:rPr>
                <w:rFonts w:ascii="Arial" w:hAnsi="Arial" w:cs="Arial"/>
                <w:sz w:val="28"/>
                <w:szCs w:val="24"/>
              </w:rPr>
            </w:pPr>
            <w:r w:rsidRPr="00F238C9">
              <w:rPr>
                <w:rFonts w:ascii="Arial" w:hAnsi="Arial" w:cs="Arial"/>
                <w:sz w:val="28"/>
                <w:szCs w:val="24"/>
              </w:rPr>
              <w:t>Davao Region</w:t>
            </w:r>
          </w:p>
        </w:tc>
        <w:tc>
          <w:tcPr>
            <w:tcW w:w="1725" w:type="dxa"/>
            <w:vAlign w:val="bottom"/>
          </w:tcPr>
          <w:p w14:paraId="35B158F0" w14:textId="63A7C63A" w:rsidR="000F5CF2" w:rsidRPr="00CE4E16" w:rsidRDefault="000F5CF2" w:rsidP="000F5CF2">
            <w:pPr>
              <w:widowControl/>
              <w:autoSpaceDE/>
              <w:autoSpaceDN/>
              <w:jc w:val="center"/>
              <w:rPr>
                <w:rFonts w:ascii="Arial" w:eastAsia="Times New Roman" w:hAnsi="Arial" w:cs="Arial"/>
                <w:sz w:val="28"/>
                <w:szCs w:val="28"/>
              </w:rPr>
            </w:pPr>
            <w:r>
              <w:rPr>
                <w:rFonts w:ascii="Arial" w:eastAsia="Times New Roman" w:hAnsi="Arial" w:cs="Arial"/>
                <w:sz w:val="28"/>
                <w:szCs w:val="28"/>
              </w:rPr>
              <w:t>8.9</w:t>
            </w:r>
          </w:p>
        </w:tc>
        <w:tc>
          <w:tcPr>
            <w:tcW w:w="1835" w:type="dxa"/>
            <w:vAlign w:val="bottom"/>
          </w:tcPr>
          <w:p w14:paraId="5FE77CC3" w14:textId="7D50CAF1" w:rsidR="000F5CF2" w:rsidRDefault="000F5CF2" w:rsidP="000F5CF2">
            <w:pPr>
              <w:jc w:val="center"/>
              <w:rPr>
                <w:rFonts w:ascii="Arial" w:hAnsi="Arial" w:cs="Arial"/>
                <w:sz w:val="28"/>
                <w:szCs w:val="24"/>
              </w:rPr>
            </w:pPr>
            <w:r>
              <w:rPr>
                <w:rFonts w:ascii="Arial" w:hAnsi="Arial" w:cs="Arial"/>
                <w:sz w:val="28"/>
                <w:szCs w:val="24"/>
              </w:rPr>
              <w:t>4.3</w:t>
            </w:r>
          </w:p>
        </w:tc>
        <w:tc>
          <w:tcPr>
            <w:tcW w:w="1837" w:type="dxa"/>
            <w:vAlign w:val="bottom"/>
          </w:tcPr>
          <w:p w14:paraId="796D5E8E" w14:textId="27298BEA" w:rsidR="000F5CF2" w:rsidRPr="00F238C9" w:rsidRDefault="000F5CF2" w:rsidP="000F5CF2">
            <w:pPr>
              <w:jc w:val="center"/>
              <w:rPr>
                <w:rFonts w:ascii="Arial" w:hAnsi="Arial" w:cs="Arial"/>
                <w:sz w:val="28"/>
                <w:szCs w:val="24"/>
              </w:rPr>
            </w:pPr>
            <w:r>
              <w:rPr>
                <w:rFonts w:ascii="Arial" w:hAnsi="Arial" w:cs="Arial"/>
                <w:sz w:val="28"/>
                <w:szCs w:val="24"/>
              </w:rPr>
              <w:t>3.9</w:t>
            </w:r>
          </w:p>
        </w:tc>
        <w:tc>
          <w:tcPr>
            <w:tcW w:w="2031" w:type="dxa"/>
            <w:vAlign w:val="bottom"/>
          </w:tcPr>
          <w:p w14:paraId="73D17295" w14:textId="5E85F162" w:rsidR="000F5CF2" w:rsidRPr="009C6FF4" w:rsidRDefault="000F5CF2" w:rsidP="000F5CF2">
            <w:pPr>
              <w:jc w:val="center"/>
              <w:rPr>
                <w:rFonts w:ascii="Arial" w:hAnsi="Arial" w:cs="Arial"/>
                <w:sz w:val="28"/>
                <w:szCs w:val="28"/>
              </w:rPr>
            </w:pPr>
            <w:r>
              <w:rPr>
                <w:rFonts w:ascii="Arial" w:hAnsi="Arial" w:cs="Arial"/>
                <w:sz w:val="28"/>
                <w:szCs w:val="28"/>
              </w:rPr>
              <w:t>6.9</w:t>
            </w:r>
          </w:p>
        </w:tc>
      </w:tr>
      <w:tr w:rsidR="000F5CF2" w14:paraId="2FAC2D02" w14:textId="77777777" w:rsidTr="005A77A4">
        <w:trPr>
          <w:trHeight w:val="297"/>
        </w:trPr>
        <w:tc>
          <w:tcPr>
            <w:tcW w:w="0" w:type="auto"/>
          </w:tcPr>
          <w:p w14:paraId="50A53B6C" w14:textId="6440BDBA" w:rsidR="000F5CF2" w:rsidRPr="00F238C9" w:rsidRDefault="000F5CF2" w:rsidP="000F5CF2">
            <w:pPr>
              <w:rPr>
                <w:rFonts w:ascii="Arial" w:hAnsi="Arial" w:cs="Arial"/>
                <w:sz w:val="28"/>
                <w:szCs w:val="24"/>
              </w:rPr>
            </w:pPr>
            <w:r w:rsidRPr="00F238C9">
              <w:rPr>
                <w:rFonts w:ascii="Arial" w:hAnsi="Arial" w:cs="Arial"/>
                <w:sz w:val="28"/>
                <w:szCs w:val="24"/>
              </w:rPr>
              <w:t xml:space="preserve">Davao </w:t>
            </w:r>
            <w:r>
              <w:rPr>
                <w:rFonts w:ascii="Arial" w:hAnsi="Arial" w:cs="Arial"/>
                <w:sz w:val="28"/>
                <w:szCs w:val="24"/>
              </w:rPr>
              <w:t>del Sur</w:t>
            </w:r>
          </w:p>
        </w:tc>
        <w:tc>
          <w:tcPr>
            <w:tcW w:w="1725" w:type="dxa"/>
            <w:vAlign w:val="bottom"/>
          </w:tcPr>
          <w:p w14:paraId="6DE58748" w14:textId="11A7C6EC" w:rsidR="000F5CF2" w:rsidRPr="00BE24D0" w:rsidRDefault="000F5CF2" w:rsidP="000F5CF2">
            <w:pPr>
              <w:widowControl/>
              <w:autoSpaceDE/>
              <w:autoSpaceDN/>
              <w:jc w:val="center"/>
              <w:rPr>
                <w:rFonts w:ascii="Arial" w:eastAsia="Times New Roman" w:hAnsi="Arial" w:cs="Arial"/>
                <w:sz w:val="28"/>
                <w:szCs w:val="28"/>
              </w:rPr>
            </w:pPr>
            <w:r>
              <w:rPr>
                <w:rFonts w:ascii="Arial" w:eastAsia="Times New Roman" w:hAnsi="Arial" w:cs="Arial"/>
                <w:sz w:val="28"/>
                <w:szCs w:val="28"/>
              </w:rPr>
              <w:t>8.3</w:t>
            </w:r>
          </w:p>
        </w:tc>
        <w:tc>
          <w:tcPr>
            <w:tcW w:w="1835" w:type="dxa"/>
            <w:vAlign w:val="bottom"/>
          </w:tcPr>
          <w:p w14:paraId="7036C192" w14:textId="034ABE9C" w:rsidR="000F5CF2" w:rsidRDefault="000F5CF2" w:rsidP="000F5CF2">
            <w:pPr>
              <w:jc w:val="center"/>
              <w:rPr>
                <w:rFonts w:ascii="Arial" w:hAnsi="Arial" w:cs="Arial"/>
                <w:sz w:val="28"/>
                <w:szCs w:val="24"/>
              </w:rPr>
            </w:pPr>
            <w:r>
              <w:rPr>
                <w:rFonts w:ascii="Arial" w:hAnsi="Arial" w:cs="Arial"/>
                <w:sz w:val="28"/>
                <w:szCs w:val="24"/>
              </w:rPr>
              <w:t>2.7</w:t>
            </w:r>
          </w:p>
        </w:tc>
        <w:tc>
          <w:tcPr>
            <w:tcW w:w="1837" w:type="dxa"/>
            <w:vAlign w:val="bottom"/>
          </w:tcPr>
          <w:p w14:paraId="6FA8D2AB" w14:textId="2A783732" w:rsidR="000F5CF2" w:rsidRPr="00F238C9" w:rsidRDefault="000F5CF2" w:rsidP="000F5CF2">
            <w:pPr>
              <w:jc w:val="center"/>
              <w:rPr>
                <w:rFonts w:ascii="Arial" w:hAnsi="Arial" w:cs="Arial"/>
                <w:sz w:val="28"/>
                <w:szCs w:val="24"/>
              </w:rPr>
            </w:pPr>
            <w:r>
              <w:rPr>
                <w:rFonts w:ascii="Arial" w:hAnsi="Arial" w:cs="Arial"/>
                <w:sz w:val="28"/>
                <w:szCs w:val="24"/>
              </w:rPr>
              <w:t>3.1</w:t>
            </w:r>
          </w:p>
        </w:tc>
        <w:tc>
          <w:tcPr>
            <w:tcW w:w="2031" w:type="dxa"/>
            <w:vAlign w:val="bottom"/>
          </w:tcPr>
          <w:p w14:paraId="3AA6E501" w14:textId="18999A36" w:rsidR="000F5CF2" w:rsidRPr="009C6FF4" w:rsidRDefault="000F5CF2" w:rsidP="000F5CF2">
            <w:pPr>
              <w:jc w:val="center"/>
              <w:rPr>
                <w:rFonts w:ascii="Arial" w:hAnsi="Arial" w:cs="Arial"/>
                <w:sz w:val="28"/>
                <w:szCs w:val="24"/>
              </w:rPr>
            </w:pPr>
            <w:r>
              <w:rPr>
                <w:rFonts w:ascii="Arial" w:hAnsi="Arial" w:cs="Arial"/>
                <w:sz w:val="28"/>
                <w:szCs w:val="24"/>
              </w:rPr>
              <w:t>6.0</w:t>
            </w:r>
          </w:p>
        </w:tc>
      </w:tr>
    </w:tbl>
    <w:p w14:paraId="14245239" w14:textId="77777777" w:rsidR="00D852C9" w:rsidRDefault="00D852C9" w:rsidP="002F1435">
      <w:pPr>
        <w:ind w:left="567" w:right="1091" w:hanging="394"/>
        <w:rPr>
          <w:rFonts w:ascii="Arial"/>
          <w:b/>
          <w:i/>
          <w:sz w:val="19"/>
        </w:rPr>
      </w:pPr>
    </w:p>
    <w:p w14:paraId="5360F283" w14:textId="2AE15A41" w:rsidR="00F238C9" w:rsidRDefault="00F238C9" w:rsidP="00FC71B6">
      <w:pPr>
        <w:ind w:left="993" w:right="521" w:hanging="820"/>
        <w:rPr>
          <w:rFonts w:ascii="Arial"/>
          <w:b/>
          <w:i/>
          <w:sz w:val="19"/>
        </w:rPr>
      </w:pPr>
      <w:r>
        <w:rPr>
          <w:rFonts w:ascii="Arial"/>
          <w:b/>
          <w:i/>
          <w:sz w:val="19"/>
        </w:rPr>
        <w:t>Source:</w:t>
      </w:r>
      <w:r>
        <w:rPr>
          <w:rFonts w:ascii="Arial"/>
          <w:b/>
          <w:i/>
          <w:spacing w:val="7"/>
          <w:sz w:val="19"/>
        </w:rPr>
        <w:t xml:space="preserve"> </w:t>
      </w:r>
      <w:r>
        <w:rPr>
          <w:rFonts w:ascii="Arial"/>
          <w:b/>
          <w:i/>
          <w:sz w:val="19"/>
        </w:rPr>
        <w:t>Retail</w:t>
      </w:r>
      <w:r>
        <w:rPr>
          <w:rFonts w:ascii="Arial"/>
          <w:b/>
          <w:i/>
          <w:spacing w:val="19"/>
          <w:sz w:val="19"/>
        </w:rPr>
        <w:t xml:space="preserve"> </w:t>
      </w:r>
      <w:r>
        <w:rPr>
          <w:rFonts w:ascii="Arial"/>
          <w:b/>
          <w:i/>
          <w:sz w:val="19"/>
        </w:rPr>
        <w:t>Price</w:t>
      </w:r>
      <w:r>
        <w:rPr>
          <w:rFonts w:ascii="Arial"/>
          <w:b/>
          <w:i/>
          <w:spacing w:val="9"/>
          <w:sz w:val="19"/>
        </w:rPr>
        <w:t xml:space="preserve"> </w:t>
      </w:r>
      <w:r>
        <w:rPr>
          <w:rFonts w:ascii="Arial"/>
          <w:b/>
          <w:i/>
          <w:sz w:val="19"/>
        </w:rPr>
        <w:t>Survey</w:t>
      </w:r>
      <w:r>
        <w:rPr>
          <w:rFonts w:ascii="Arial"/>
          <w:b/>
          <w:i/>
          <w:spacing w:val="9"/>
          <w:sz w:val="19"/>
        </w:rPr>
        <w:t xml:space="preserve"> </w:t>
      </w:r>
      <w:r>
        <w:rPr>
          <w:rFonts w:ascii="Arial"/>
          <w:b/>
          <w:i/>
          <w:sz w:val="19"/>
        </w:rPr>
        <w:t>of</w:t>
      </w:r>
      <w:r>
        <w:rPr>
          <w:rFonts w:ascii="Arial"/>
          <w:b/>
          <w:i/>
          <w:spacing w:val="7"/>
          <w:sz w:val="19"/>
        </w:rPr>
        <w:t xml:space="preserve"> </w:t>
      </w:r>
      <w:r>
        <w:rPr>
          <w:rFonts w:ascii="Arial"/>
          <w:b/>
          <w:i/>
          <w:sz w:val="19"/>
        </w:rPr>
        <w:t>Commodities</w:t>
      </w:r>
      <w:r>
        <w:rPr>
          <w:rFonts w:ascii="Arial"/>
          <w:b/>
          <w:i/>
          <w:spacing w:val="-7"/>
          <w:sz w:val="19"/>
        </w:rPr>
        <w:t xml:space="preserve"> </w:t>
      </w:r>
      <w:r>
        <w:rPr>
          <w:rFonts w:ascii="Arial"/>
          <w:b/>
          <w:i/>
          <w:sz w:val="19"/>
        </w:rPr>
        <w:t>for</w:t>
      </w:r>
      <w:r>
        <w:rPr>
          <w:rFonts w:ascii="Arial"/>
          <w:b/>
          <w:i/>
          <w:spacing w:val="12"/>
          <w:sz w:val="19"/>
        </w:rPr>
        <w:t xml:space="preserve"> </w:t>
      </w:r>
      <w:r>
        <w:rPr>
          <w:rFonts w:ascii="Arial"/>
          <w:b/>
          <w:i/>
          <w:sz w:val="19"/>
        </w:rPr>
        <w:t>the</w:t>
      </w:r>
      <w:r>
        <w:rPr>
          <w:rFonts w:ascii="Arial"/>
          <w:b/>
          <w:i/>
          <w:spacing w:val="9"/>
          <w:sz w:val="19"/>
        </w:rPr>
        <w:t xml:space="preserve"> </w:t>
      </w:r>
      <w:r>
        <w:rPr>
          <w:rFonts w:ascii="Arial"/>
          <w:b/>
          <w:i/>
          <w:sz w:val="19"/>
        </w:rPr>
        <w:t>Generation</w:t>
      </w:r>
      <w:r>
        <w:rPr>
          <w:rFonts w:ascii="Arial"/>
          <w:b/>
          <w:i/>
          <w:spacing w:val="14"/>
          <w:sz w:val="19"/>
        </w:rPr>
        <w:t xml:space="preserve"> </w:t>
      </w:r>
      <w:r>
        <w:rPr>
          <w:rFonts w:ascii="Arial"/>
          <w:b/>
          <w:i/>
          <w:sz w:val="19"/>
        </w:rPr>
        <w:t>of</w:t>
      </w:r>
      <w:r>
        <w:rPr>
          <w:rFonts w:ascii="Arial"/>
          <w:b/>
          <w:i/>
          <w:spacing w:val="8"/>
          <w:sz w:val="19"/>
        </w:rPr>
        <w:t xml:space="preserve"> </w:t>
      </w:r>
      <w:r>
        <w:rPr>
          <w:rFonts w:ascii="Arial"/>
          <w:b/>
          <w:i/>
          <w:sz w:val="19"/>
        </w:rPr>
        <w:t>Consumer</w:t>
      </w:r>
      <w:r>
        <w:rPr>
          <w:rFonts w:ascii="Arial"/>
          <w:b/>
          <w:i/>
          <w:spacing w:val="12"/>
          <w:sz w:val="19"/>
        </w:rPr>
        <w:t xml:space="preserve"> </w:t>
      </w:r>
      <w:r>
        <w:rPr>
          <w:rFonts w:ascii="Arial"/>
          <w:b/>
          <w:i/>
          <w:sz w:val="19"/>
        </w:rPr>
        <w:t>Price</w:t>
      </w:r>
      <w:r>
        <w:rPr>
          <w:rFonts w:ascii="Arial"/>
          <w:b/>
          <w:i/>
          <w:spacing w:val="9"/>
          <w:sz w:val="19"/>
        </w:rPr>
        <w:t xml:space="preserve"> </w:t>
      </w:r>
      <w:r>
        <w:rPr>
          <w:rFonts w:ascii="Arial"/>
          <w:b/>
          <w:i/>
          <w:sz w:val="19"/>
        </w:rPr>
        <w:t>Index</w:t>
      </w:r>
      <w:r w:rsidR="00FC71B6">
        <w:rPr>
          <w:rFonts w:ascii="Arial"/>
          <w:b/>
          <w:i/>
          <w:spacing w:val="1"/>
          <w:sz w:val="19"/>
        </w:rPr>
        <w:t xml:space="preserve"> </w:t>
      </w:r>
      <w:r>
        <w:rPr>
          <w:rFonts w:ascii="Arial"/>
          <w:b/>
          <w:i/>
          <w:sz w:val="19"/>
        </w:rPr>
        <w:t>Philippine</w:t>
      </w:r>
      <w:r>
        <w:rPr>
          <w:rFonts w:ascii="Arial"/>
          <w:b/>
          <w:i/>
          <w:spacing w:val="3"/>
          <w:sz w:val="19"/>
        </w:rPr>
        <w:t xml:space="preserve"> </w:t>
      </w:r>
      <w:r>
        <w:rPr>
          <w:rFonts w:ascii="Arial"/>
          <w:b/>
          <w:i/>
          <w:sz w:val="19"/>
        </w:rPr>
        <w:t>Statistics</w:t>
      </w:r>
      <w:r>
        <w:rPr>
          <w:rFonts w:ascii="Arial"/>
          <w:b/>
          <w:i/>
          <w:spacing w:val="-11"/>
          <w:sz w:val="19"/>
        </w:rPr>
        <w:t xml:space="preserve"> </w:t>
      </w:r>
      <w:r>
        <w:rPr>
          <w:rFonts w:ascii="Arial"/>
          <w:b/>
          <w:i/>
          <w:sz w:val="19"/>
        </w:rPr>
        <w:t>Authority</w:t>
      </w:r>
    </w:p>
    <w:p w14:paraId="4944697A" w14:textId="6D30A156" w:rsidR="00F238C9" w:rsidRDefault="00F238C9" w:rsidP="002F1435">
      <w:pPr>
        <w:pStyle w:val="ListParagraph"/>
        <w:numPr>
          <w:ilvl w:val="0"/>
          <w:numId w:val="1"/>
        </w:numPr>
        <w:tabs>
          <w:tab w:val="left" w:pos="173"/>
        </w:tabs>
        <w:spacing w:line="240" w:lineRule="auto"/>
        <w:ind w:hanging="136"/>
        <w:rPr>
          <w:rFonts w:ascii="Arial" w:hAnsi="Arial"/>
          <w:b/>
          <w:i/>
          <w:sz w:val="19"/>
        </w:rPr>
      </w:pPr>
      <w:r>
        <w:rPr>
          <w:rFonts w:ascii="Arial" w:hAnsi="Arial"/>
          <w:b/>
          <w:i/>
          <w:sz w:val="19"/>
        </w:rPr>
        <w:t>Year-on-year</w:t>
      </w:r>
      <w:r>
        <w:rPr>
          <w:rFonts w:ascii="Arial" w:hAnsi="Arial"/>
          <w:b/>
          <w:i/>
          <w:spacing w:val="7"/>
          <w:sz w:val="19"/>
        </w:rPr>
        <w:t xml:space="preserve"> </w:t>
      </w:r>
      <w:r>
        <w:rPr>
          <w:rFonts w:ascii="Arial" w:hAnsi="Arial"/>
          <w:b/>
          <w:i/>
          <w:sz w:val="19"/>
        </w:rPr>
        <w:t>change</w:t>
      </w:r>
      <w:r>
        <w:rPr>
          <w:rFonts w:ascii="Arial" w:hAnsi="Arial"/>
          <w:b/>
          <w:i/>
          <w:spacing w:val="4"/>
          <w:sz w:val="19"/>
        </w:rPr>
        <w:t xml:space="preserve"> </w:t>
      </w:r>
      <w:r>
        <w:rPr>
          <w:rFonts w:ascii="Arial" w:hAnsi="Arial"/>
          <w:b/>
          <w:i/>
          <w:sz w:val="19"/>
        </w:rPr>
        <w:t>of</w:t>
      </w:r>
      <w:r>
        <w:rPr>
          <w:rFonts w:ascii="Arial" w:hAnsi="Arial"/>
          <w:b/>
          <w:i/>
          <w:spacing w:val="4"/>
          <w:sz w:val="19"/>
        </w:rPr>
        <w:t xml:space="preserve"> </w:t>
      </w:r>
      <w:r>
        <w:rPr>
          <w:rFonts w:ascii="Arial" w:hAnsi="Arial"/>
          <w:b/>
          <w:i/>
          <w:sz w:val="19"/>
        </w:rPr>
        <w:t>average</w:t>
      </w:r>
      <w:r>
        <w:rPr>
          <w:rFonts w:ascii="Arial" w:hAnsi="Arial"/>
          <w:b/>
          <w:i/>
          <w:spacing w:val="4"/>
          <w:sz w:val="19"/>
        </w:rPr>
        <w:t xml:space="preserve"> </w:t>
      </w:r>
      <w:r>
        <w:rPr>
          <w:rFonts w:ascii="Arial" w:hAnsi="Arial"/>
          <w:b/>
          <w:i/>
          <w:sz w:val="19"/>
        </w:rPr>
        <w:t>CPI</w:t>
      </w:r>
      <w:r>
        <w:rPr>
          <w:rFonts w:ascii="Arial" w:hAnsi="Arial"/>
          <w:b/>
          <w:i/>
          <w:spacing w:val="-2"/>
          <w:sz w:val="19"/>
        </w:rPr>
        <w:t xml:space="preserve"> </w:t>
      </w:r>
      <w:r>
        <w:rPr>
          <w:rFonts w:ascii="Arial" w:hAnsi="Arial"/>
          <w:b/>
          <w:i/>
          <w:sz w:val="19"/>
        </w:rPr>
        <w:t>for</w:t>
      </w:r>
      <w:r>
        <w:rPr>
          <w:rFonts w:ascii="Arial" w:hAnsi="Arial"/>
          <w:b/>
          <w:i/>
          <w:spacing w:val="8"/>
          <w:sz w:val="19"/>
        </w:rPr>
        <w:t xml:space="preserve"> </w:t>
      </w:r>
      <w:r w:rsidR="000F5CF2">
        <w:rPr>
          <w:rFonts w:ascii="Arial" w:hAnsi="Arial"/>
          <w:b/>
          <w:i/>
          <w:sz w:val="19"/>
        </w:rPr>
        <w:t>August</w:t>
      </w:r>
      <w:r w:rsidR="007A2E74">
        <w:rPr>
          <w:rFonts w:ascii="Arial" w:hAnsi="Arial"/>
          <w:b/>
          <w:i/>
          <w:spacing w:val="10"/>
          <w:sz w:val="19"/>
        </w:rPr>
        <w:t>,</w:t>
      </w:r>
      <w:r w:rsidR="009228C3">
        <w:rPr>
          <w:rFonts w:ascii="Arial" w:hAnsi="Arial"/>
          <w:b/>
          <w:i/>
          <w:spacing w:val="13"/>
          <w:sz w:val="19"/>
        </w:rPr>
        <w:t xml:space="preserve"> </w:t>
      </w:r>
      <w:r w:rsidR="00C562DB">
        <w:rPr>
          <w:rFonts w:ascii="Arial" w:hAnsi="Arial"/>
          <w:b/>
          <w:i/>
          <w:sz w:val="19"/>
        </w:rPr>
        <w:t>20</w:t>
      </w:r>
      <w:r>
        <w:rPr>
          <w:rFonts w:ascii="Arial" w:hAnsi="Arial"/>
          <w:b/>
          <w:i/>
          <w:sz w:val="19"/>
        </w:rPr>
        <w:t>2</w:t>
      </w:r>
      <w:r w:rsidR="00C562DB">
        <w:rPr>
          <w:rFonts w:ascii="Arial" w:hAnsi="Arial"/>
          <w:b/>
          <w:i/>
          <w:sz w:val="19"/>
        </w:rPr>
        <w:t>3</w:t>
      </w:r>
      <w:r>
        <w:rPr>
          <w:rFonts w:ascii="Arial" w:hAnsi="Arial"/>
          <w:b/>
          <w:i/>
          <w:spacing w:val="5"/>
          <w:sz w:val="19"/>
        </w:rPr>
        <w:t xml:space="preserve"> </w:t>
      </w:r>
      <w:r>
        <w:rPr>
          <w:rFonts w:ascii="Arial" w:hAnsi="Arial"/>
          <w:b/>
          <w:i/>
          <w:sz w:val="19"/>
        </w:rPr>
        <w:t>vs.</w:t>
      </w:r>
      <w:r>
        <w:rPr>
          <w:rFonts w:ascii="Arial" w:hAnsi="Arial"/>
          <w:b/>
          <w:i/>
          <w:spacing w:val="13"/>
          <w:sz w:val="19"/>
        </w:rPr>
        <w:t xml:space="preserve"> </w:t>
      </w:r>
      <w:r w:rsidR="00C562DB">
        <w:rPr>
          <w:rFonts w:ascii="Arial" w:hAnsi="Arial"/>
          <w:b/>
          <w:i/>
          <w:sz w:val="19"/>
        </w:rPr>
        <w:t>2022</w:t>
      </w:r>
    </w:p>
    <w:p w14:paraId="1D95BFA2" w14:textId="57AF5185" w:rsidR="00A26041" w:rsidRDefault="00506815" w:rsidP="00A26041">
      <w:pPr>
        <w:pStyle w:val="ListParagraph"/>
        <w:tabs>
          <w:tab w:val="left" w:pos="173"/>
        </w:tabs>
        <w:spacing w:line="240" w:lineRule="auto"/>
        <w:ind w:left="309" w:firstLine="0"/>
        <w:rPr>
          <w:rFonts w:ascii="Arial" w:hAnsi="Arial"/>
          <w:b/>
          <w:i/>
          <w:sz w:val="19"/>
        </w:rPr>
      </w:pPr>
      <w:r>
        <w:rPr>
          <w:rFonts w:ascii="Arial" w:hAnsi="Arial"/>
          <w:b/>
          <w:i/>
          <w:sz w:val="19"/>
        </w:rPr>
        <w:t xml:space="preserve"> </w:t>
      </w:r>
      <w:r w:rsidR="00EF2B7F">
        <w:rPr>
          <w:rFonts w:ascii="Arial" w:hAnsi="Arial"/>
          <w:b/>
          <w:i/>
          <w:sz w:val="19"/>
        </w:rPr>
        <w:t xml:space="preserve"> </w:t>
      </w:r>
    </w:p>
    <w:p w14:paraId="24D76AD1" w14:textId="1682F448" w:rsidR="00680886" w:rsidRDefault="002F1435" w:rsidP="002342F7">
      <w:pPr>
        <w:rPr>
          <w:sz w:val="28"/>
          <w:szCs w:val="28"/>
        </w:rPr>
      </w:pPr>
      <w:r>
        <w:rPr>
          <w:noProof/>
          <w:sz w:val="28"/>
          <w:szCs w:val="28"/>
          <w:lang w:val="en-PH" w:eastAsia="en-PH"/>
        </w:rPr>
        <w:drawing>
          <wp:anchor distT="0" distB="0" distL="114300" distR="114300" simplePos="0" relativeHeight="251660288" behindDoc="0" locked="0" layoutInCell="1" allowOverlap="1" wp14:anchorId="69C2B28F" wp14:editId="360205BE">
            <wp:simplePos x="0" y="0"/>
            <wp:positionH relativeFrom="column">
              <wp:posOffset>-211539</wp:posOffset>
            </wp:positionH>
            <wp:positionV relativeFrom="paragraph">
              <wp:posOffset>124479</wp:posOffset>
            </wp:positionV>
            <wp:extent cx="6127844" cy="3456305"/>
            <wp:effectExtent l="0" t="0" r="6350" b="1079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38E23437" w14:textId="58F9F573" w:rsidR="002F1435" w:rsidRPr="002F1435" w:rsidRDefault="002F1435" w:rsidP="002F1435">
      <w:pPr>
        <w:rPr>
          <w:sz w:val="28"/>
          <w:szCs w:val="28"/>
        </w:rPr>
      </w:pPr>
    </w:p>
    <w:p w14:paraId="084A23F5" w14:textId="1F52260D" w:rsidR="002F1435" w:rsidRPr="002F1435" w:rsidRDefault="002F1435" w:rsidP="002F1435">
      <w:pPr>
        <w:rPr>
          <w:sz w:val="28"/>
          <w:szCs w:val="28"/>
        </w:rPr>
      </w:pPr>
    </w:p>
    <w:p w14:paraId="2D8A9578" w14:textId="3894E0C7" w:rsidR="002F1435" w:rsidRPr="002F1435" w:rsidRDefault="002F1435" w:rsidP="002F1435">
      <w:pPr>
        <w:rPr>
          <w:sz w:val="28"/>
          <w:szCs w:val="28"/>
        </w:rPr>
      </w:pPr>
    </w:p>
    <w:p w14:paraId="4280175F" w14:textId="470D72A0" w:rsidR="002F1435" w:rsidRPr="002F1435" w:rsidRDefault="002F1435" w:rsidP="002F1435">
      <w:pPr>
        <w:rPr>
          <w:sz w:val="28"/>
          <w:szCs w:val="28"/>
        </w:rPr>
      </w:pPr>
    </w:p>
    <w:p w14:paraId="69F3392B" w14:textId="32E506AE" w:rsidR="002F1435" w:rsidRPr="002F1435" w:rsidRDefault="002F1435" w:rsidP="002F1435">
      <w:pPr>
        <w:rPr>
          <w:sz w:val="28"/>
          <w:szCs w:val="28"/>
        </w:rPr>
      </w:pPr>
    </w:p>
    <w:p w14:paraId="173E15CF" w14:textId="43D75C73" w:rsidR="002F1435" w:rsidRPr="002F1435" w:rsidRDefault="002F1435" w:rsidP="002F1435">
      <w:pPr>
        <w:rPr>
          <w:sz w:val="28"/>
          <w:szCs w:val="28"/>
        </w:rPr>
      </w:pPr>
    </w:p>
    <w:p w14:paraId="38026EBC" w14:textId="505EFCA9" w:rsidR="002F1435" w:rsidRPr="002F1435" w:rsidRDefault="002F1435" w:rsidP="002F1435">
      <w:pPr>
        <w:rPr>
          <w:sz w:val="28"/>
          <w:szCs w:val="28"/>
        </w:rPr>
      </w:pPr>
    </w:p>
    <w:p w14:paraId="670FBB7B" w14:textId="61984096" w:rsidR="002F1435" w:rsidRPr="002F1435" w:rsidRDefault="002F1435" w:rsidP="002F1435">
      <w:pPr>
        <w:rPr>
          <w:sz w:val="28"/>
          <w:szCs w:val="28"/>
        </w:rPr>
      </w:pPr>
    </w:p>
    <w:p w14:paraId="28F2B1B4" w14:textId="01981FDC" w:rsidR="002F1435" w:rsidRPr="002F1435" w:rsidRDefault="002F1435" w:rsidP="002F1435">
      <w:pPr>
        <w:rPr>
          <w:sz w:val="28"/>
          <w:szCs w:val="28"/>
        </w:rPr>
      </w:pPr>
    </w:p>
    <w:p w14:paraId="440AE9C1" w14:textId="71B658BE" w:rsidR="002F1435" w:rsidRPr="002F1435" w:rsidRDefault="002F1435" w:rsidP="002F1435">
      <w:pPr>
        <w:rPr>
          <w:sz w:val="28"/>
          <w:szCs w:val="28"/>
        </w:rPr>
      </w:pPr>
    </w:p>
    <w:p w14:paraId="7B776F33" w14:textId="2FF1F33C" w:rsidR="002F1435" w:rsidRPr="002F1435" w:rsidRDefault="002F1435" w:rsidP="002F1435">
      <w:pPr>
        <w:rPr>
          <w:sz w:val="28"/>
          <w:szCs w:val="28"/>
        </w:rPr>
      </w:pPr>
    </w:p>
    <w:p w14:paraId="700D1A70" w14:textId="41BC2C21" w:rsidR="002F1435" w:rsidRPr="002F1435" w:rsidRDefault="002F1435" w:rsidP="002F1435">
      <w:pPr>
        <w:rPr>
          <w:sz w:val="28"/>
          <w:szCs w:val="28"/>
        </w:rPr>
      </w:pPr>
    </w:p>
    <w:p w14:paraId="6AF5C820" w14:textId="720B612B" w:rsidR="002F1435" w:rsidRPr="002F1435" w:rsidRDefault="002F1435" w:rsidP="002F1435">
      <w:pPr>
        <w:rPr>
          <w:sz w:val="28"/>
          <w:szCs w:val="28"/>
        </w:rPr>
      </w:pPr>
    </w:p>
    <w:p w14:paraId="399B9E0A" w14:textId="220AC35F" w:rsidR="002F1435" w:rsidRPr="002F1435" w:rsidRDefault="002F1435" w:rsidP="002F1435">
      <w:pPr>
        <w:rPr>
          <w:sz w:val="28"/>
          <w:szCs w:val="28"/>
        </w:rPr>
      </w:pPr>
    </w:p>
    <w:p w14:paraId="11F5CFE8" w14:textId="1E35BA32" w:rsidR="002F1435" w:rsidRPr="002F1435" w:rsidRDefault="002F1435" w:rsidP="002F1435">
      <w:pPr>
        <w:rPr>
          <w:sz w:val="28"/>
          <w:szCs w:val="28"/>
        </w:rPr>
      </w:pPr>
    </w:p>
    <w:p w14:paraId="3DA6337B" w14:textId="63D314CC" w:rsidR="002F1435" w:rsidRDefault="002F1435" w:rsidP="002F1435">
      <w:pPr>
        <w:rPr>
          <w:sz w:val="28"/>
          <w:szCs w:val="28"/>
        </w:rPr>
      </w:pPr>
    </w:p>
    <w:p w14:paraId="33D1B38C" w14:textId="0EE1C8BF" w:rsidR="002F1435" w:rsidRDefault="002F1435" w:rsidP="002F1435">
      <w:pPr>
        <w:rPr>
          <w:sz w:val="28"/>
          <w:szCs w:val="28"/>
        </w:rPr>
      </w:pPr>
    </w:p>
    <w:p w14:paraId="3621892E" w14:textId="7A561AFE" w:rsidR="00A91856" w:rsidRDefault="002F1435" w:rsidP="00D61E6E">
      <w:pPr>
        <w:rPr>
          <w:rFonts w:ascii="Arial"/>
          <w:b/>
          <w:i/>
          <w:sz w:val="19"/>
        </w:rPr>
      </w:pPr>
      <w:r>
        <w:rPr>
          <w:rFonts w:ascii="Arial"/>
          <w:b/>
          <w:i/>
          <w:spacing w:val="-2"/>
          <w:sz w:val="19"/>
        </w:rPr>
        <w:t>Source:</w:t>
      </w:r>
      <w:r>
        <w:rPr>
          <w:rFonts w:ascii="Arial"/>
          <w:b/>
          <w:i/>
          <w:sz w:val="19"/>
        </w:rPr>
        <w:t xml:space="preserve"> </w:t>
      </w:r>
      <w:r>
        <w:rPr>
          <w:rFonts w:ascii="Arial"/>
          <w:b/>
          <w:i/>
          <w:spacing w:val="-2"/>
          <w:sz w:val="19"/>
        </w:rPr>
        <w:t>Retail</w:t>
      </w:r>
      <w:r>
        <w:rPr>
          <w:rFonts w:ascii="Arial"/>
          <w:b/>
          <w:i/>
          <w:spacing w:val="12"/>
          <w:sz w:val="19"/>
        </w:rPr>
        <w:t xml:space="preserve"> </w:t>
      </w:r>
      <w:r>
        <w:rPr>
          <w:rFonts w:ascii="Arial"/>
          <w:b/>
          <w:i/>
          <w:spacing w:val="-2"/>
          <w:sz w:val="19"/>
        </w:rPr>
        <w:t>Price</w:t>
      </w:r>
      <w:r>
        <w:rPr>
          <w:rFonts w:ascii="Arial"/>
          <w:b/>
          <w:i/>
          <w:spacing w:val="2"/>
          <w:sz w:val="19"/>
        </w:rPr>
        <w:t xml:space="preserve"> </w:t>
      </w:r>
      <w:r>
        <w:rPr>
          <w:rFonts w:ascii="Arial"/>
          <w:b/>
          <w:i/>
          <w:spacing w:val="-2"/>
          <w:sz w:val="19"/>
        </w:rPr>
        <w:t>Survey</w:t>
      </w:r>
      <w:r>
        <w:rPr>
          <w:rFonts w:ascii="Arial"/>
          <w:b/>
          <w:i/>
          <w:spacing w:val="3"/>
          <w:sz w:val="19"/>
        </w:rPr>
        <w:t xml:space="preserve"> </w:t>
      </w:r>
      <w:r>
        <w:rPr>
          <w:rFonts w:ascii="Arial"/>
          <w:b/>
          <w:i/>
          <w:spacing w:val="-2"/>
          <w:sz w:val="19"/>
        </w:rPr>
        <w:t>of</w:t>
      </w:r>
      <w:r>
        <w:rPr>
          <w:rFonts w:ascii="Arial"/>
          <w:b/>
          <w:i/>
          <w:sz w:val="19"/>
        </w:rPr>
        <w:t xml:space="preserve"> </w:t>
      </w:r>
      <w:r>
        <w:rPr>
          <w:rFonts w:ascii="Arial"/>
          <w:b/>
          <w:i/>
          <w:spacing w:val="-2"/>
          <w:sz w:val="19"/>
        </w:rPr>
        <w:t>Commodities</w:t>
      </w:r>
      <w:r>
        <w:rPr>
          <w:rFonts w:ascii="Arial"/>
          <w:b/>
          <w:i/>
          <w:spacing w:val="-12"/>
          <w:sz w:val="19"/>
        </w:rPr>
        <w:t xml:space="preserve"> </w:t>
      </w:r>
      <w:r>
        <w:rPr>
          <w:rFonts w:ascii="Arial"/>
          <w:b/>
          <w:i/>
          <w:spacing w:val="-2"/>
          <w:sz w:val="19"/>
        </w:rPr>
        <w:t>for</w:t>
      </w:r>
      <w:r>
        <w:rPr>
          <w:rFonts w:ascii="Arial"/>
          <w:b/>
          <w:i/>
          <w:spacing w:val="4"/>
          <w:sz w:val="19"/>
        </w:rPr>
        <w:t xml:space="preserve"> </w:t>
      </w:r>
      <w:r>
        <w:rPr>
          <w:rFonts w:ascii="Arial"/>
          <w:b/>
          <w:i/>
          <w:spacing w:val="-2"/>
          <w:sz w:val="19"/>
        </w:rPr>
        <w:t>the</w:t>
      </w:r>
      <w:r>
        <w:rPr>
          <w:rFonts w:ascii="Arial"/>
          <w:b/>
          <w:i/>
          <w:spacing w:val="3"/>
          <w:sz w:val="19"/>
        </w:rPr>
        <w:t xml:space="preserve"> </w:t>
      </w:r>
      <w:r>
        <w:rPr>
          <w:rFonts w:ascii="Arial"/>
          <w:b/>
          <w:i/>
          <w:spacing w:val="-2"/>
          <w:sz w:val="19"/>
        </w:rPr>
        <w:t>Generation</w:t>
      </w:r>
      <w:r>
        <w:rPr>
          <w:rFonts w:ascii="Arial"/>
          <w:b/>
          <w:i/>
          <w:spacing w:val="6"/>
          <w:sz w:val="19"/>
        </w:rPr>
        <w:t xml:space="preserve"> </w:t>
      </w:r>
      <w:r>
        <w:rPr>
          <w:rFonts w:ascii="Arial"/>
          <w:b/>
          <w:i/>
          <w:spacing w:val="-1"/>
          <w:sz w:val="19"/>
        </w:rPr>
        <w:t>of</w:t>
      </w:r>
      <w:r>
        <w:rPr>
          <w:rFonts w:ascii="Arial"/>
          <w:b/>
          <w:i/>
          <w:spacing w:val="1"/>
          <w:sz w:val="19"/>
        </w:rPr>
        <w:t xml:space="preserve"> </w:t>
      </w:r>
      <w:r>
        <w:rPr>
          <w:rFonts w:ascii="Arial"/>
          <w:b/>
          <w:i/>
          <w:spacing w:val="-1"/>
          <w:sz w:val="19"/>
        </w:rPr>
        <w:t>Consumer</w:t>
      </w:r>
      <w:r>
        <w:rPr>
          <w:rFonts w:ascii="Arial"/>
          <w:b/>
          <w:i/>
          <w:spacing w:val="4"/>
          <w:sz w:val="19"/>
        </w:rPr>
        <w:t xml:space="preserve"> </w:t>
      </w:r>
      <w:r>
        <w:rPr>
          <w:rFonts w:ascii="Arial"/>
          <w:b/>
          <w:i/>
          <w:spacing w:val="-1"/>
          <w:sz w:val="19"/>
        </w:rPr>
        <w:t>Price</w:t>
      </w:r>
      <w:r>
        <w:rPr>
          <w:rFonts w:ascii="Arial"/>
          <w:b/>
          <w:i/>
          <w:spacing w:val="3"/>
          <w:sz w:val="19"/>
        </w:rPr>
        <w:t xml:space="preserve"> </w:t>
      </w:r>
      <w:r>
        <w:rPr>
          <w:rFonts w:ascii="Arial"/>
          <w:b/>
          <w:i/>
          <w:spacing w:val="-1"/>
          <w:sz w:val="19"/>
        </w:rPr>
        <w:t>Index</w:t>
      </w:r>
    </w:p>
    <w:p w14:paraId="272B6C42" w14:textId="6C522236" w:rsidR="0022397D" w:rsidRDefault="002F1435" w:rsidP="00D61E6E">
      <w:pPr>
        <w:rPr>
          <w:rFonts w:ascii="Arial"/>
          <w:b/>
          <w:i/>
          <w:sz w:val="19"/>
        </w:rPr>
        <w:sectPr w:rsidR="0022397D" w:rsidSect="0022397D">
          <w:headerReference w:type="default" r:id="rId9"/>
          <w:footerReference w:type="default" r:id="rId10"/>
          <w:pgSz w:w="11906" w:h="16838" w:code="9"/>
          <w:pgMar w:top="1985" w:right="1440" w:bottom="1440" w:left="1440" w:header="708" w:footer="708" w:gutter="0"/>
          <w:cols w:space="708"/>
          <w:docGrid w:linePitch="360"/>
        </w:sectPr>
      </w:pPr>
      <w:r>
        <w:rPr>
          <w:rFonts w:ascii="Arial"/>
          <w:b/>
          <w:i/>
          <w:sz w:val="19"/>
        </w:rPr>
        <w:t>Philippine</w:t>
      </w:r>
      <w:r>
        <w:rPr>
          <w:rFonts w:ascii="Arial"/>
          <w:b/>
          <w:i/>
          <w:spacing w:val="1"/>
          <w:sz w:val="19"/>
        </w:rPr>
        <w:t xml:space="preserve"> </w:t>
      </w:r>
      <w:r>
        <w:rPr>
          <w:rFonts w:ascii="Arial"/>
          <w:b/>
          <w:i/>
          <w:sz w:val="19"/>
        </w:rPr>
        <w:t>Statistics</w:t>
      </w:r>
      <w:r>
        <w:rPr>
          <w:rFonts w:ascii="Arial"/>
          <w:b/>
          <w:i/>
          <w:spacing w:val="-13"/>
          <w:sz w:val="19"/>
        </w:rPr>
        <w:t xml:space="preserve"> </w:t>
      </w:r>
      <w:r>
        <w:rPr>
          <w:rFonts w:ascii="Arial"/>
          <w:b/>
          <w:i/>
          <w:sz w:val="19"/>
        </w:rPr>
        <w:t>Authority</w:t>
      </w:r>
      <w:r w:rsidR="006C0051">
        <w:rPr>
          <w:rFonts w:ascii="Arial"/>
          <w:b/>
          <w:i/>
          <w:sz w:val="19"/>
        </w:rPr>
        <w:t xml:space="preserve"> </w:t>
      </w:r>
    </w:p>
    <w:p w14:paraId="13E03EC2" w14:textId="7EDB50D5" w:rsidR="002F1435" w:rsidRPr="00775B83" w:rsidRDefault="002F1435" w:rsidP="00516639">
      <w:pPr>
        <w:spacing w:line="264" w:lineRule="auto"/>
        <w:rPr>
          <w:rFonts w:ascii="Arial" w:hAnsi="Arial" w:cs="Arial"/>
          <w:b/>
          <w:i/>
          <w:sz w:val="24"/>
          <w:szCs w:val="26"/>
        </w:rPr>
      </w:pPr>
      <w:r w:rsidRPr="00775B83">
        <w:rPr>
          <w:rFonts w:ascii="Arial" w:hAnsi="Arial" w:cs="Arial"/>
          <w:b/>
          <w:bCs/>
          <w:sz w:val="24"/>
          <w:szCs w:val="26"/>
        </w:rPr>
        <w:lastRenderedPageBreak/>
        <w:t>DAVAO</w:t>
      </w:r>
      <w:r w:rsidR="00210A8C" w:rsidRPr="00775B83">
        <w:rPr>
          <w:rFonts w:ascii="Arial" w:hAnsi="Arial" w:cs="Arial"/>
          <w:b/>
          <w:bCs/>
          <w:sz w:val="24"/>
          <w:szCs w:val="26"/>
        </w:rPr>
        <w:t xml:space="preserve"> DEL SUR</w:t>
      </w:r>
    </w:p>
    <w:p w14:paraId="68375184" w14:textId="77777777" w:rsidR="005434CB" w:rsidRPr="00775B83" w:rsidRDefault="005434CB" w:rsidP="00775B83">
      <w:pPr>
        <w:spacing w:line="264" w:lineRule="auto"/>
        <w:jc w:val="both"/>
        <w:rPr>
          <w:rFonts w:ascii="Arial" w:hAnsi="Arial" w:cs="Arial"/>
          <w:sz w:val="24"/>
          <w:szCs w:val="26"/>
        </w:rPr>
      </w:pPr>
    </w:p>
    <w:p w14:paraId="4CDA8E85" w14:textId="69F78A24" w:rsidR="002F1435" w:rsidRPr="00775B83" w:rsidRDefault="002F1435" w:rsidP="007B0319">
      <w:pPr>
        <w:spacing w:line="264" w:lineRule="auto"/>
        <w:jc w:val="both"/>
        <w:rPr>
          <w:rFonts w:ascii="Arial" w:hAnsi="Arial" w:cs="Arial"/>
          <w:sz w:val="24"/>
          <w:szCs w:val="26"/>
        </w:rPr>
      </w:pPr>
      <w:r w:rsidRPr="00775B83">
        <w:rPr>
          <w:rFonts w:ascii="Arial" w:hAnsi="Arial" w:cs="Arial"/>
          <w:sz w:val="24"/>
          <w:szCs w:val="26"/>
        </w:rPr>
        <w:t xml:space="preserve">The headline inflation in </w:t>
      </w:r>
      <w:r w:rsidR="00AE7581" w:rsidRPr="00775B83">
        <w:rPr>
          <w:rFonts w:ascii="Arial" w:hAnsi="Arial" w:cs="Arial"/>
          <w:sz w:val="24"/>
          <w:szCs w:val="26"/>
        </w:rPr>
        <w:t>Davao del Sur</w:t>
      </w:r>
      <w:r w:rsidR="00F14D73">
        <w:rPr>
          <w:rFonts w:ascii="Arial" w:hAnsi="Arial" w:cs="Arial"/>
          <w:sz w:val="24"/>
          <w:szCs w:val="26"/>
        </w:rPr>
        <w:t xml:space="preserve"> rose to 3.1 percent which is 0.4</w:t>
      </w:r>
      <w:r w:rsidR="004051D5">
        <w:rPr>
          <w:rFonts w:ascii="Arial" w:hAnsi="Arial" w:cs="Arial"/>
          <w:sz w:val="24"/>
          <w:szCs w:val="26"/>
        </w:rPr>
        <w:t xml:space="preserve"> percentage </w:t>
      </w:r>
      <w:r w:rsidR="00FD7D80">
        <w:rPr>
          <w:rFonts w:ascii="Arial" w:hAnsi="Arial" w:cs="Arial"/>
          <w:sz w:val="24"/>
          <w:szCs w:val="26"/>
        </w:rPr>
        <w:t>points</w:t>
      </w:r>
      <w:r w:rsidR="00152B25">
        <w:rPr>
          <w:rFonts w:ascii="Arial" w:hAnsi="Arial" w:cs="Arial"/>
          <w:sz w:val="24"/>
          <w:szCs w:val="26"/>
        </w:rPr>
        <w:t xml:space="preserve"> </w:t>
      </w:r>
      <w:r w:rsidR="00F14D73">
        <w:rPr>
          <w:rFonts w:ascii="Arial" w:hAnsi="Arial" w:cs="Arial"/>
          <w:sz w:val="24"/>
          <w:szCs w:val="26"/>
        </w:rPr>
        <w:t>higher than the</w:t>
      </w:r>
      <w:r w:rsidR="003A6F11">
        <w:rPr>
          <w:rFonts w:ascii="Arial" w:hAnsi="Arial" w:cs="Arial"/>
          <w:sz w:val="24"/>
          <w:szCs w:val="26"/>
        </w:rPr>
        <w:t xml:space="preserve"> July</w:t>
      </w:r>
      <w:r w:rsidR="0035429C">
        <w:rPr>
          <w:rFonts w:ascii="Arial" w:hAnsi="Arial" w:cs="Arial"/>
          <w:sz w:val="24"/>
          <w:szCs w:val="26"/>
        </w:rPr>
        <w:t xml:space="preserve"> 2023</w:t>
      </w:r>
      <w:r w:rsidR="00F14D73">
        <w:rPr>
          <w:rFonts w:ascii="Arial" w:hAnsi="Arial" w:cs="Arial"/>
          <w:sz w:val="24"/>
          <w:szCs w:val="26"/>
        </w:rPr>
        <w:t xml:space="preserve"> inflation rat</w:t>
      </w:r>
      <w:r w:rsidR="00F86305">
        <w:rPr>
          <w:rFonts w:ascii="Arial" w:hAnsi="Arial" w:cs="Arial"/>
          <w:sz w:val="24"/>
          <w:szCs w:val="26"/>
        </w:rPr>
        <w:t>e</w:t>
      </w:r>
      <w:r w:rsidR="00777D34" w:rsidRPr="00775B83">
        <w:rPr>
          <w:rFonts w:ascii="Arial" w:hAnsi="Arial" w:cs="Arial"/>
          <w:sz w:val="24"/>
          <w:szCs w:val="26"/>
        </w:rPr>
        <w:t>.</w:t>
      </w:r>
      <w:r w:rsidR="00F86305">
        <w:rPr>
          <w:rFonts w:ascii="Arial" w:hAnsi="Arial" w:cs="Arial"/>
          <w:sz w:val="24"/>
          <w:szCs w:val="26"/>
        </w:rPr>
        <w:t xml:space="preserve"> Moreover, this</w:t>
      </w:r>
      <w:r w:rsidR="000D7F58">
        <w:rPr>
          <w:rFonts w:ascii="Arial" w:hAnsi="Arial" w:cs="Arial"/>
          <w:sz w:val="24"/>
          <w:szCs w:val="26"/>
        </w:rPr>
        <w:t xml:space="preserve"> inflation rate is </w:t>
      </w:r>
      <w:r w:rsidR="00F86305">
        <w:rPr>
          <w:rFonts w:ascii="Arial" w:hAnsi="Arial" w:cs="Arial"/>
          <w:sz w:val="24"/>
          <w:szCs w:val="26"/>
        </w:rPr>
        <w:t>5.2</w:t>
      </w:r>
      <w:r w:rsidR="00FD7D80">
        <w:rPr>
          <w:rFonts w:ascii="Arial" w:hAnsi="Arial" w:cs="Arial"/>
          <w:sz w:val="24"/>
          <w:szCs w:val="26"/>
        </w:rPr>
        <w:t xml:space="preserve"> percentage points lower</w:t>
      </w:r>
      <w:r w:rsidR="0054098B">
        <w:rPr>
          <w:rFonts w:ascii="Arial" w:hAnsi="Arial" w:cs="Arial"/>
          <w:sz w:val="24"/>
          <w:szCs w:val="26"/>
        </w:rPr>
        <w:t xml:space="preserve"> </w:t>
      </w:r>
      <w:r w:rsidR="00FD7D80">
        <w:rPr>
          <w:rFonts w:ascii="Arial" w:hAnsi="Arial" w:cs="Arial"/>
          <w:sz w:val="24"/>
          <w:szCs w:val="26"/>
        </w:rPr>
        <w:t xml:space="preserve">than the inflation rate </w:t>
      </w:r>
      <w:r w:rsidR="00595C90">
        <w:rPr>
          <w:rFonts w:ascii="Arial" w:hAnsi="Arial" w:cs="Arial"/>
          <w:sz w:val="24"/>
          <w:szCs w:val="26"/>
        </w:rPr>
        <w:t>in</w:t>
      </w:r>
      <w:r w:rsidR="00F86305">
        <w:rPr>
          <w:rFonts w:ascii="Arial" w:hAnsi="Arial" w:cs="Arial"/>
          <w:sz w:val="24"/>
          <w:szCs w:val="26"/>
        </w:rPr>
        <w:t xml:space="preserve"> August</w:t>
      </w:r>
      <w:r w:rsidR="0035429C">
        <w:rPr>
          <w:rFonts w:ascii="Arial" w:hAnsi="Arial" w:cs="Arial"/>
          <w:sz w:val="24"/>
          <w:szCs w:val="26"/>
        </w:rPr>
        <w:t xml:space="preserve"> 2022</w:t>
      </w:r>
      <w:r w:rsidR="00660376" w:rsidRPr="00775B83">
        <w:rPr>
          <w:rFonts w:ascii="Arial" w:hAnsi="Arial" w:cs="Arial"/>
          <w:sz w:val="24"/>
          <w:szCs w:val="26"/>
        </w:rPr>
        <w:t xml:space="preserve"> posted</w:t>
      </w:r>
      <w:r w:rsidR="00FD7D80">
        <w:rPr>
          <w:rFonts w:ascii="Arial" w:hAnsi="Arial" w:cs="Arial"/>
          <w:sz w:val="24"/>
          <w:szCs w:val="26"/>
        </w:rPr>
        <w:t xml:space="preserve"> at </w:t>
      </w:r>
      <w:r w:rsidR="00F86305">
        <w:rPr>
          <w:rFonts w:ascii="Arial" w:hAnsi="Arial" w:cs="Arial"/>
          <w:sz w:val="24"/>
          <w:szCs w:val="26"/>
        </w:rPr>
        <w:t>8</w:t>
      </w:r>
      <w:r w:rsidR="000D7F58">
        <w:rPr>
          <w:rFonts w:ascii="Arial" w:hAnsi="Arial" w:cs="Arial"/>
          <w:sz w:val="24"/>
          <w:szCs w:val="26"/>
        </w:rPr>
        <w:t>.</w:t>
      </w:r>
      <w:r w:rsidR="00F86305">
        <w:rPr>
          <w:rFonts w:ascii="Arial" w:hAnsi="Arial" w:cs="Arial"/>
          <w:sz w:val="24"/>
          <w:szCs w:val="26"/>
        </w:rPr>
        <w:t>3</w:t>
      </w:r>
      <w:r w:rsidR="0035429C">
        <w:rPr>
          <w:rFonts w:ascii="Arial" w:hAnsi="Arial" w:cs="Arial"/>
          <w:sz w:val="24"/>
          <w:szCs w:val="26"/>
        </w:rPr>
        <w:t xml:space="preserve"> percent</w:t>
      </w:r>
      <w:r w:rsidR="000C299F" w:rsidRPr="00775B83">
        <w:rPr>
          <w:rFonts w:ascii="Arial" w:hAnsi="Arial" w:cs="Arial"/>
          <w:sz w:val="24"/>
          <w:szCs w:val="26"/>
        </w:rPr>
        <w:t>. The aver</w:t>
      </w:r>
      <w:r w:rsidR="007941E8">
        <w:rPr>
          <w:rFonts w:ascii="Arial" w:hAnsi="Arial" w:cs="Arial"/>
          <w:sz w:val="24"/>
          <w:szCs w:val="26"/>
        </w:rPr>
        <w:t>age inflation for the year</w:t>
      </w:r>
      <w:r w:rsidR="00FD7D80">
        <w:rPr>
          <w:rFonts w:ascii="Arial" w:hAnsi="Arial" w:cs="Arial"/>
          <w:sz w:val="24"/>
          <w:szCs w:val="26"/>
        </w:rPr>
        <w:t xml:space="preserve">’s first </w:t>
      </w:r>
      <w:r w:rsidR="00FE18B3">
        <w:rPr>
          <w:rFonts w:ascii="Arial" w:hAnsi="Arial" w:cs="Arial"/>
          <w:sz w:val="24"/>
          <w:szCs w:val="26"/>
        </w:rPr>
        <w:t>seven</w:t>
      </w:r>
      <w:r w:rsidR="006731F5">
        <w:rPr>
          <w:rFonts w:ascii="Arial" w:hAnsi="Arial" w:cs="Arial"/>
          <w:sz w:val="24"/>
          <w:szCs w:val="26"/>
        </w:rPr>
        <w:t xml:space="preserve"> months</w:t>
      </w:r>
      <w:r w:rsidR="008A2395">
        <w:rPr>
          <w:rFonts w:ascii="Arial" w:hAnsi="Arial" w:cs="Arial"/>
          <w:sz w:val="24"/>
          <w:szCs w:val="26"/>
        </w:rPr>
        <w:t xml:space="preserve"> </w:t>
      </w:r>
      <w:r w:rsidR="00962BA5">
        <w:rPr>
          <w:rFonts w:ascii="Arial" w:hAnsi="Arial" w:cs="Arial"/>
          <w:sz w:val="24"/>
          <w:szCs w:val="26"/>
        </w:rPr>
        <w:t xml:space="preserve">stood at </w:t>
      </w:r>
      <w:r w:rsidR="00FE18B3">
        <w:rPr>
          <w:rFonts w:ascii="Arial" w:hAnsi="Arial" w:cs="Arial"/>
          <w:sz w:val="24"/>
          <w:szCs w:val="26"/>
        </w:rPr>
        <w:t>6</w:t>
      </w:r>
      <w:r w:rsidR="00FD7D80">
        <w:rPr>
          <w:rFonts w:ascii="Arial" w:hAnsi="Arial" w:cs="Arial"/>
          <w:sz w:val="24"/>
          <w:szCs w:val="26"/>
        </w:rPr>
        <w:t>.</w:t>
      </w:r>
      <w:r w:rsidR="00F86305">
        <w:rPr>
          <w:rFonts w:ascii="Arial" w:hAnsi="Arial" w:cs="Arial"/>
          <w:sz w:val="24"/>
          <w:szCs w:val="26"/>
        </w:rPr>
        <w:t>0</w:t>
      </w:r>
      <w:r w:rsidR="000C299F" w:rsidRPr="00775B83">
        <w:rPr>
          <w:rFonts w:ascii="Arial" w:hAnsi="Arial" w:cs="Arial"/>
          <w:sz w:val="24"/>
          <w:szCs w:val="26"/>
        </w:rPr>
        <w:t xml:space="preserve"> percent</w:t>
      </w:r>
      <w:r w:rsidR="007941E8">
        <w:rPr>
          <w:rFonts w:ascii="Arial" w:hAnsi="Arial" w:cs="Arial"/>
          <w:sz w:val="24"/>
          <w:szCs w:val="26"/>
        </w:rPr>
        <w:t xml:space="preserve">. </w:t>
      </w:r>
      <w:r w:rsidR="000C299F" w:rsidRPr="00775B83">
        <w:rPr>
          <w:rFonts w:ascii="Arial" w:hAnsi="Arial" w:cs="Arial"/>
          <w:sz w:val="24"/>
          <w:szCs w:val="26"/>
        </w:rPr>
        <w:t>(Table A and Figure 1).</w:t>
      </w:r>
    </w:p>
    <w:p w14:paraId="218879B0" w14:textId="18C23DB2" w:rsidR="006E0636" w:rsidRPr="00775B83" w:rsidRDefault="006E0636" w:rsidP="005F4B21">
      <w:pPr>
        <w:spacing w:line="264" w:lineRule="auto"/>
        <w:jc w:val="both"/>
        <w:rPr>
          <w:rFonts w:ascii="Arial" w:hAnsi="Arial" w:cs="Arial"/>
          <w:sz w:val="24"/>
          <w:szCs w:val="26"/>
        </w:rPr>
      </w:pPr>
    </w:p>
    <w:p w14:paraId="2A514CC1" w14:textId="25944DD4" w:rsidR="008A2395" w:rsidRDefault="00F86305" w:rsidP="00B87C4D">
      <w:pPr>
        <w:spacing w:line="264" w:lineRule="auto"/>
        <w:jc w:val="both"/>
        <w:rPr>
          <w:rFonts w:ascii="Arial" w:hAnsi="Arial" w:cs="Arial"/>
          <w:sz w:val="24"/>
          <w:szCs w:val="26"/>
        </w:rPr>
      </w:pPr>
      <w:r>
        <w:rPr>
          <w:rFonts w:ascii="Arial" w:hAnsi="Arial" w:cs="Arial"/>
          <w:sz w:val="24"/>
          <w:szCs w:val="26"/>
        </w:rPr>
        <w:t>The in</w:t>
      </w:r>
      <w:r w:rsidR="007941E8">
        <w:rPr>
          <w:rFonts w:ascii="Arial" w:hAnsi="Arial" w:cs="Arial"/>
          <w:sz w:val="24"/>
          <w:szCs w:val="26"/>
        </w:rPr>
        <w:t>c</w:t>
      </w:r>
      <w:r w:rsidR="0047557F">
        <w:rPr>
          <w:rFonts w:ascii="Arial" w:hAnsi="Arial" w:cs="Arial"/>
          <w:sz w:val="24"/>
          <w:szCs w:val="26"/>
        </w:rPr>
        <w:t>rease</w:t>
      </w:r>
      <w:r w:rsidR="00051197" w:rsidRPr="00775B83">
        <w:rPr>
          <w:rFonts w:ascii="Arial" w:hAnsi="Arial" w:cs="Arial"/>
          <w:sz w:val="24"/>
          <w:szCs w:val="26"/>
        </w:rPr>
        <w:t xml:space="preserve"> </w:t>
      </w:r>
      <w:r w:rsidR="006E0636" w:rsidRPr="00775B83">
        <w:rPr>
          <w:rFonts w:ascii="Arial" w:hAnsi="Arial" w:cs="Arial"/>
          <w:sz w:val="24"/>
          <w:szCs w:val="26"/>
        </w:rPr>
        <w:t xml:space="preserve">in </w:t>
      </w:r>
      <w:r w:rsidR="001F4C09" w:rsidRPr="00775B83">
        <w:rPr>
          <w:rFonts w:ascii="Arial" w:hAnsi="Arial" w:cs="Arial"/>
          <w:sz w:val="24"/>
          <w:szCs w:val="26"/>
        </w:rPr>
        <w:t>Davao del Sur</w:t>
      </w:r>
      <w:r w:rsidR="006E0636" w:rsidRPr="00775B83">
        <w:rPr>
          <w:rFonts w:ascii="Arial" w:hAnsi="Arial" w:cs="Arial"/>
          <w:sz w:val="24"/>
          <w:szCs w:val="26"/>
        </w:rPr>
        <w:t>’s</w:t>
      </w:r>
      <w:r w:rsidR="009934E3" w:rsidRPr="00775B83">
        <w:rPr>
          <w:rFonts w:ascii="Arial" w:hAnsi="Arial" w:cs="Arial"/>
          <w:sz w:val="24"/>
          <w:szCs w:val="26"/>
        </w:rPr>
        <w:t xml:space="preserve"> </w:t>
      </w:r>
      <w:r w:rsidR="006E0636" w:rsidRPr="00775B83">
        <w:rPr>
          <w:rFonts w:ascii="Arial" w:hAnsi="Arial" w:cs="Arial"/>
          <w:sz w:val="24"/>
          <w:szCs w:val="26"/>
        </w:rPr>
        <w:t xml:space="preserve">inflation </w:t>
      </w:r>
      <w:r w:rsidR="009934E3" w:rsidRPr="00775B83">
        <w:rPr>
          <w:rFonts w:ascii="Arial" w:hAnsi="Arial" w:cs="Arial"/>
          <w:sz w:val="24"/>
          <w:szCs w:val="26"/>
        </w:rPr>
        <w:t xml:space="preserve">rate </w:t>
      </w:r>
      <w:r w:rsidR="006E0636" w:rsidRPr="00775B83">
        <w:rPr>
          <w:rFonts w:ascii="Arial" w:hAnsi="Arial" w:cs="Arial"/>
          <w:sz w:val="24"/>
          <w:szCs w:val="26"/>
        </w:rPr>
        <w:t xml:space="preserve">was mainly brought about by the </w:t>
      </w:r>
      <w:r w:rsidR="00991CC8">
        <w:rPr>
          <w:rFonts w:ascii="Arial" w:hAnsi="Arial" w:cs="Arial"/>
          <w:sz w:val="24"/>
          <w:szCs w:val="26"/>
        </w:rPr>
        <w:t>in</w:t>
      </w:r>
      <w:r w:rsidR="000D7F58">
        <w:rPr>
          <w:rFonts w:ascii="Arial" w:hAnsi="Arial" w:cs="Arial"/>
          <w:sz w:val="24"/>
          <w:szCs w:val="26"/>
        </w:rPr>
        <w:t>crease</w:t>
      </w:r>
      <w:r w:rsidR="00423E92">
        <w:rPr>
          <w:rFonts w:ascii="Arial" w:hAnsi="Arial" w:cs="Arial"/>
          <w:sz w:val="24"/>
          <w:szCs w:val="26"/>
        </w:rPr>
        <w:t xml:space="preserve"> in the </w:t>
      </w:r>
      <w:r w:rsidR="00991CC8">
        <w:rPr>
          <w:rFonts w:ascii="Arial" w:hAnsi="Arial" w:cs="Arial"/>
          <w:sz w:val="24"/>
          <w:szCs w:val="26"/>
        </w:rPr>
        <w:t>Transport index to negative 4.0</w:t>
      </w:r>
      <w:r w:rsidR="00FD7D80">
        <w:rPr>
          <w:rFonts w:ascii="Arial" w:hAnsi="Arial" w:cs="Arial"/>
          <w:sz w:val="24"/>
          <w:szCs w:val="26"/>
        </w:rPr>
        <w:t xml:space="preserve"> percent from</w:t>
      </w:r>
      <w:r w:rsidR="00991CC8">
        <w:rPr>
          <w:rFonts w:ascii="Arial" w:hAnsi="Arial" w:cs="Arial"/>
          <w:sz w:val="24"/>
          <w:szCs w:val="26"/>
        </w:rPr>
        <w:t xml:space="preserve"> negative</w:t>
      </w:r>
      <w:r w:rsidR="00FD7D80">
        <w:rPr>
          <w:rFonts w:ascii="Arial" w:hAnsi="Arial" w:cs="Arial"/>
          <w:sz w:val="24"/>
          <w:szCs w:val="26"/>
        </w:rPr>
        <w:t xml:space="preserve"> </w:t>
      </w:r>
      <w:r w:rsidR="00991CC8">
        <w:rPr>
          <w:rFonts w:ascii="Arial" w:hAnsi="Arial" w:cs="Arial"/>
          <w:sz w:val="24"/>
          <w:szCs w:val="26"/>
        </w:rPr>
        <w:t xml:space="preserve">13.6 </w:t>
      </w:r>
      <w:r w:rsidR="00FE18B3">
        <w:rPr>
          <w:rFonts w:ascii="Arial" w:hAnsi="Arial" w:cs="Arial"/>
          <w:sz w:val="24"/>
          <w:szCs w:val="26"/>
        </w:rPr>
        <w:t xml:space="preserve">percent </w:t>
      </w:r>
      <w:r w:rsidR="0054098B">
        <w:rPr>
          <w:rFonts w:ascii="Arial" w:hAnsi="Arial" w:cs="Arial"/>
          <w:sz w:val="24"/>
          <w:szCs w:val="26"/>
        </w:rPr>
        <w:t>in the previous month</w:t>
      </w:r>
      <w:r w:rsidR="00AD7D01">
        <w:rPr>
          <w:rFonts w:ascii="Arial" w:hAnsi="Arial" w:cs="Arial"/>
          <w:sz w:val="24"/>
          <w:szCs w:val="26"/>
        </w:rPr>
        <w:t xml:space="preserve">. It </w:t>
      </w:r>
      <w:r w:rsidR="00F165FE">
        <w:rPr>
          <w:rFonts w:ascii="Arial" w:hAnsi="Arial" w:cs="Arial"/>
          <w:sz w:val="24"/>
          <w:szCs w:val="26"/>
        </w:rPr>
        <w:t>shared</w:t>
      </w:r>
      <w:r w:rsidR="007A5B4D">
        <w:rPr>
          <w:rFonts w:ascii="Arial" w:hAnsi="Arial" w:cs="Arial"/>
          <w:sz w:val="24"/>
          <w:szCs w:val="26"/>
        </w:rPr>
        <w:t xml:space="preserve"> 74</w:t>
      </w:r>
      <w:r w:rsidR="00FD7D80">
        <w:rPr>
          <w:rFonts w:ascii="Arial" w:hAnsi="Arial" w:cs="Arial"/>
          <w:sz w:val="24"/>
          <w:szCs w:val="26"/>
        </w:rPr>
        <w:t>.</w:t>
      </w:r>
      <w:r w:rsidR="007A5B4D">
        <w:rPr>
          <w:rFonts w:ascii="Arial" w:hAnsi="Arial" w:cs="Arial"/>
          <w:sz w:val="24"/>
          <w:szCs w:val="26"/>
        </w:rPr>
        <w:t>8</w:t>
      </w:r>
      <w:r w:rsidR="007941E8">
        <w:rPr>
          <w:rFonts w:ascii="Arial" w:hAnsi="Arial" w:cs="Arial"/>
          <w:sz w:val="24"/>
          <w:szCs w:val="26"/>
        </w:rPr>
        <w:t xml:space="preserve"> percent</w:t>
      </w:r>
      <w:r w:rsidR="00E86713">
        <w:rPr>
          <w:rFonts w:ascii="Arial" w:hAnsi="Arial" w:cs="Arial"/>
          <w:sz w:val="24"/>
          <w:szCs w:val="26"/>
        </w:rPr>
        <w:t xml:space="preserve"> </w:t>
      </w:r>
      <w:r w:rsidR="00FE18B3">
        <w:rPr>
          <w:rFonts w:ascii="Arial" w:hAnsi="Arial" w:cs="Arial"/>
          <w:sz w:val="24"/>
          <w:szCs w:val="26"/>
        </w:rPr>
        <w:t xml:space="preserve">in the inflation trend </w:t>
      </w:r>
      <w:r w:rsidR="00E86713">
        <w:rPr>
          <w:rFonts w:ascii="Arial" w:hAnsi="Arial" w:cs="Arial"/>
          <w:sz w:val="24"/>
          <w:szCs w:val="26"/>
        </w:rPr>
        <w:t>which is the highest</w:t>
      </w:r>
      <w:r w:rsidR="007941E8">
        <w:rPr>
          <w:rFonts w:ascii="Arial" w:hAnsi="Arial" w:cs="Arial"/>
          <w:sz w:val="24"/>
          <w:szCs w:val="26"/>
        </w:rPr>
        <w:t>.</w:t>
      </w:r>
      <w:r w:rsidR="007A5B4D">
        <w:rPr>
          <w:rFonts w:ascii="Arial" w:hAnsi="Arial" w:cs="Arial"/>
          <w:sz w:val="24"/>
          <w:szCs w:val="26"/>
        </w:rPr>
        <w:t xml:space="preserve"> Next to that is the in</w:t>
      </w:r>
      <w:r w:rsidR="00E86713">
        <w:rPr>
          <w:rFonts w:ascii="Arial" w:hAnsi="Arial" w:cs="Arial"/>
          <w:sz w:val="24"/>
          <w:szCs w:val="26"/>
        </w:rPr>
        <w:t>crease in the inflation rate of</w:t>
      </w:r>
      <w:r w:rsidR="00EC56C5">
        <w:rPr>
          <w:rFonts w:ascii="Arial" w:hAnsi="Arial" w:cs="Arial"/>
          <w:sz w:val="24"/>
          <w:szCs w:val="26"/>
        </w:rPr>
        <w:t xml:space="preserve"> </w:t>
      </w:r>
      <w:r w:rsidR="007A5B4D">
        <w:rPr>
          <w:rFonts w:ascii="Arial" w:hAnsi="Arial" w:cs="Arial"/>
          <w:sz w:val="24"/>
          <w:szCs w:val="26"/>
        </w:rPr>
        <w:t xml:space="preserve">Food and Non-Alcoholic Beverages </w:t>
      </w:r>
      <w:r w:rsidR="00FD7D80">
        <w:rPr>
          <w:rFonts w:ascii="Arial" w:hAnsi="Arial" w:cs="Arial"/>
          <w:sz w:val="24"/>
          <w:szCs w:val="26"/>
        </w:rPr>
        <w:t>to</w:t>
      </w:r>
      <w:r w:rsidR="007A5B4D">
        <w:rPr>
          <w:rFonts w:ascii="Arial" w:hAnsi="Arial" w:cs="Arial"/>
          <w:sz w:val="24"/>
          <w:szCs w:val="26"/>
        </w:rPr>
        <w:t xml:space="preserve"> 5</w:t>
      </w:r>
      <w:r w:rsidR="002E7DE4">
        <w:rPr>
          <w:rFonts w:ascii="Arial" w:hAnsi="Arial" w:cs="Arial"/>
          <w:sz w:val="24"/>
          <w:szCs w:val="26"/>
        </w:rPr>
        <w:t xml:space="preserve">.4 percent from </w:t>
      </w:r>
      <w:r w:rsidR="007A5B4D">
        <w:rPr>
          <w:rFonts w:ascii="Arial" w:hAnsi="Arial" w:cs="Arial"/>
          <w:sz w:val="24"/>
          <w:szCs w:val="26"/>
        </w:rPr>
        <w:t>5.0</w:t>
      </w:r>
      <w:r w:rsidR="00EC56C5">
        <w:rPr>
          <w:rFonts w:ascii="Arial" w:hAnsi="Arial" w:cs="Arial"/>
          <w:sz w:val="24"/>
          <w:szCs w:val="26"/>
        </w:rPr>
        <w:t xml:space="preserve"> percent in the previous month</w:t>
      </w:r>
      <w:r w:rsidR="00D26B32">
        <w:rPr>
          <w:rFonts w:ascii="Arial" w:hAnsi="Arial" w:cs="Arial"/>
          <w:sz w:val="24"/>
          <w:szCs w:val="26"/>
        </w:rPr>
        <w:t xml:space="preserve">. It </w:t>
      </w:r>
      <w:r w:rsidR="00CE1C02">
        <w:rPr>
          <w:rFonts w:ascii="Arial" w:hAnsi="Arial" w:cs="Arial"/>
          <w:sz w:val="24"/>
          <w:szCs w:val="26"/>
        </w:rPr>
        <w:t>contributed</w:t>
      </w:r>
      <w:r w:rsidR="00FD7D80">
        <w:rPr>
          <w:rFonts w:ascii="Arial" w:hAnsi="Arial" w:cs="Arial"/>
          <w:sz w:val="24"/>
          <w:szCs w:val="26"/>
        </w:rPr>
        <w:t xml:space="preserve"> </w:t>
      </w:r>
      <w:r w:rsidR="007A5B4D">
        <w:rPr>
          <w:rFonts w:ascii="Arial" w:hAnsi="Arial" w:cs="Arial"/>
          <w:sz w:val="24"/>
          <w:szCs w:val="26"/>
        </w:rPr>
        <w:t>19</w:t>
      </w:r>
      <w:r w:rsidR="00FD7D80">
        <w:rPr>
          <w:rFonts w:ascii="Arial" w:hAnsi="Arial" w:cs="Arial"/>
          <w:sz w:val="24"/>
          <w:szCs w:val="26"/>
        </w:rPr>
        <w:t>.</w:t>
      </w:r>
      <w:r w:rsidR="007A5B4D">
        <w:rPr>
          <w:rFonts w:ascii="Arial" w:hAnsi="Arial" w:cs="Arial"/>
          <w:sz w:val="24"/>
          <w:szCs w:val="26"/>
        </w:rPr>
        <w:t>2</w:t>
      </w:r>
      <w:r w:rsidR="00EC56C5">
        <w:rPr>
          <w:rFonts w:ascii="Arial" w:hAnsi="Arial" w:cs="Arial"/>
          <w:sz w:val="24"/>
          <w:szCs w:val="26"/>
        </w:rPr>
        <w:t xml:space="preserve"> percent</w:t>
      </w:r>
      <w:r w:rsidR="00D26B32">
        <w:rPr>
          <w:rFonts w:ascii="Arial" w:hAnsi="Arial" w:cs="Arial"/>
          <w:sz w:val="24"/>
          <w:szCs w:val="26"/>
        </w:rPr>
        <w:t>, the second</w:t>
      </w:r>
      <w:r w:rsidR="00E9097B">
        <w:rPr>
          <w:rFonts w:ascii="Arial" w:hAnsi="Arial" w:cs="Arial"/>
          <w:sz w:val="24"/>
          <w:szCs w:val="26"/>
        </w:rPr>
        <w:t>-</w:t>
      </w:r>
      <w:r w:rsidR="002E7DE4">
        <w:rPr>
          <w:rFonts w:ascii="Arial" w:hAnsi="Arial" w:cs="Arial"/>
          <w:sz w:val="24"/>
          <w:szCs w:val="26"/>
        </w:rPr>
        <w:t xml:space="preserve">highest </w:t>
      </w:r>
      <w:r w:rsidR="00EC56C5">
        <w:rPr>
          <w:rFonts w:ascii="Arial" w:hAnsi="Arial" w:cs="Arial"/>
          <w:sz w:val="24"/>
          <w:szCs w:val="26"/>
        </w:rPr>
        <w:t>share in the inflation trend</w:t>
      </w:r>
      <w:r w:rsidR="007A5B4D">
        <w:rPr>
          <w:rFonts w:ascii="Arial" w:hAnsi="Arial" w:cs="Arial"/>
          <w:sz w:val="24"/>
          <w:szCs w:val="26"/>
        </w:rPr>
        <w:t>. In addition</w:t>
      </w:r>
      <w:r w:rsidR="00634F03">
        <w:rPr>
          <w:rFonts w:ascii="Arial" w:hAnsi="Arial" w:cs="Arial"/>
          <w:sz w:val="24"/>
          <w:szCs w:val="26"/>
        </w:rPr>
        <w:t xml:space="preserve">, </w:t>
      </w:r>
      <w:r w:rsidR="00B64982">
        <w:rPr>
          <w:rFonts w:ascii="Arial" w:hAnsi="Arial" w:cs="Arial"/>
          <w:sz w:val="24"/>
          <w:szCs w:val="26"/>
        </w:rPr>
        <w:t xml:space="preserve">the inflation rate of </w:t>
      </w:r>
      <w:r w:rsidR="007A5B4D">
        <w:rPr>
          <w:rFonts w:ascii="Arial" w:hAnsi="Arial" w:cs="Arial"/>
          <w:sz w:val="24"/>
          <w:szCs w:val="26"/>
        </w:rPr>
        <w:t>Education Services increas</w:t>
      </w:r>
      <w:r w:rsidR="00AF0EEC">
        <w:rPr>
          <w:rFonts w:ascii="Arial" w:hAnsi="Arial" w:cs="Arial"/>
          <w:sz w:val="24"/>
          <w:szCs w:val="26"/>
        </w:rPr>
        <w:t>ed to</w:t>
      </w:r>
      <w:r w:rsidR="007A5B4D">
        <w:rPr>
          <w:rFonts w:ascii="Arial" w:hAnsi="Arial" w:cs="Arial"/>
          <w:sz w:val="24"/>
          <w:szCs w:val="26"/>
        </w:rPr>
        <w:t xml:space="preserve"> 1</w:t>
      </w:r>
      <w:r w:rsidR="00AF0EEC">
        <w:rPr>
          <w:rFonts w:ascii="Arial" w:hAnsi="Arial" w:cs="Arial"/>
          <w:sz w:val="24"/>
          <w:szCs w:val="26"/>
        </w:rPr>
        <w:t>.</w:t>
      </w:r>
      <w:r w:rsidR="007A5B4D">
        <w:rPr>
          <w:rFonts w:ascii="Arial" w:hAnsi="Arial" w:cs="Arial"/>
          <w:sz w:val="24"/>
          <w:szCs w:val="26"/>
        </w:rPr>
        <w:t xml:space="preserve">8 percent from 0.3 </w:t>
      </w:r>
      <w:r w:rsidR="00D26B32">
        <w:rPr>
          <w:rFonts w:ascii="Arial" w:hAnsi="Arial" w:cs="Arial"/>
          <w:sz w:val="24"/>
          <w:szCs w:val="26"/>
        </w:rPr>
        <w:t>percent in th</w:t>
      </w:r>
      <w:r w:rsidR="00CE1C02">
        <w:rPr>
          <w:rFonts w:ascii="Arial" w:hAnsi="Arial" w:cs="Arial"/>
          <w:sz w:val="24"/>
          <w:szCs w:val="26"/>
        </w:rPr>
        <w:t>e previous month. It contributed</w:t>
      </w:r>
      <w:r w:rsidR="00D26B32">
        <w:rPr>
          <w:rFonts w:ascii="Arial" w:hAnsi="Arial" w:cs="Arial"/>
          <w:sz w:val="24"/>
          <w:szCs w:val="26"/>
        </w:rPr>
        <w:t xml:space="preserve"> the third highest sha</w:t>
      </w:r>
      <w:r w:rsidR="00B64982">
        <w:rPr>
          <w:rFonts w:ascii="Arial" w:hAnsi="Arial" w:cs="Arial"/>
          <w:sz w:val="24"/>
          <w:szCs w:val="26"/>
        </w:rPr>
        <w:t>r</w:t>
      </w:r>
      <w:r w:rsidR="00AF0EEC">
        <w:rPr>
          <w:rFonts w:ascii="Arial" w:hAnsi="Arial" w:cs="Arial"/>
          <w:sz w:val="24"/>
          <w:szCs w:val="26"/>
        </w:rPr>
        <w:t>e in the inflation trend with</w:t>
      </w:r>
      <w:r w:rsidR="00634F03">
        <w:rPr>
          <w:rFonts w:ascii="Arial" w:hAnsi="Arial" w:cs="Arial"/>
          <w:sz w:val="24"/>
          <w:szCs w:val="26"/>
        </w:rPr>
        <w:t xml:space="preserve"> </w:t>
      </w:r>
      <w:r w:rsidR="005D4261">
        <w:rPr>
          <w:rFonts w:ascii="Arial" w:hAnsi="Arial" w:cs="Arial"/>
          <w:sz w:val="24"/>
          <w:szCs w:val="26"/>
        </w:rPr>
        <w:t>2.9</w:t>
      </w:r>
      <w:r w:rsidR="00D26B32">
        <w:rPr>
          <w:rFonts w:ascii="Arial" w:hAnsi="Arial" w:cs="Arial"/>
          <w:sz w:val="24"/>
          <w:szCs w:val="26"/>
        </w:rPr>
        <w:t xml:space="preserve"> percent.</w:t>
      </w:r>
      <w:r w:rsidR="0054098B">
        <w:rPr>
          <w:rFonts w:ascii="Arial" w:hAnsi="Arial" w:cs="Arial"/>
          <w:sz w:val="24"/>
          <w:szCs w:val="26"/>
        </w:rPr>
        <w:t xml:space="preserve"> </w:t>
      </w:r>
      <w:r w:rsidR="0054098B" w:rsidRPr="0054098B">
        <w:rPr>
          <w:rFonts w:ascii="Arial" w:hAnsi="Arial" w:cs="Arial"/>
          <w:sz w:val="24"/>
          <w:szCs w:val="26"/>
        </w:rPr>
        <w:t xml:space="preserve">Also, the annual upticks of </w:t>
      </w:r>
      <w:r w:rsidR="00634F03">
        <w:rPr>
          <w:rFonts w:ascii="Arial" w:hAnsi="Arial" w:cs="Arial"/>
          <w:sz w:val="24"/>
          <w:szCs w:val="26"/>
        </w:rPr>
        <w:t>Alcoholic Beverages and Tobacco</w:t>
      </w:r>
      <w:r w:rsidR="008F37E8">
        <w:rPr>
          <w:rFonts w:ascii="Arial" w:hAnsi="Arial" w:cs="Arial"/>
          <w:sz w:val="24"/>
          <w:szCs w:val="26"/>
        </w:rPr>
        <w:t xml:space="preserve"> </w:t>
      </w:r>
      <w:r w:rsidR="005D4261">
        <w:rPr>
          <w:rFonts w:ascii="Arial" w:hAnsi="Arial" w:cs="Arial"/>
          <w:sz w:val="24"/>
          <w:szCs w:val="26"/>
        </w:rPr>
        <w:t>in</w:t>
      </w:r>
      <w:r w:rsidR="0054098B" w:rsidRPr="0054098B">
        <w:rPr>
          <w:rFonts w:ascii="Arial" w:hAnsi="Arial" w:cs="Arial"/>
          <w:sz w:val="24"/>
          <w:szCs w:val="26"/>
        </w:rPr>
        <w:t>creased</w:t>
      </w:r>
      <w:r w:rsidR="00AF0EEC">
        <w:rPr>
          <w:rFonts w:ascii="Arial" w:hAnsi="Arial" w:cs="Arial"/>
          <w:sz w:val="24"/>
          <w:szCs w:val="26"/>
        </w:rPr>
        <w:t xml:space="preserve"> to </w:t>
      </w:r>
      <w:r w:rsidR="00E9097B">
        <w:rPr>
          <w:rFonts w:ascii="Arial" w:hAnsi="Arial" w:cs="Arial"/>
          <w:sz w:val="24"/>
          <w:szCs w:val="26"/>
        </w:rPr>
        <w:t>1</w:t>
      </w:r>
      <w:r w:rsidR="008F37E8">
        <w:rPr>
          <w:rFonts w:ascii="Arial" w:hAnsi="Arial" w:cs="Arial"/>
          <w:sz w:val="24"/>
          <w:szCs w:val="26"/>
        </w:rPr>
        <w:t>2</w:t>
      </w:r>
      <w:r w:rsidR="00AF0EEC">
        <w:rPr>
          <w:rFonts w:ascii="Arial" w:hAnsi="Arial" w:cs="Arial"/>
          <w:sz w:val="24"/>
          <w:szCs w:val="26"/>
        </w:rPr>
        <w:t>.</w:t>
      </w:r>
      <w:r w:rsidR="005D4261">
        <w:rPr>
          <w:rFonts w:ascii="Arial" w:hAnsi="Arial" w:cs="Arial"/>
          <w:sz w:val="24"/>
          <w:szCs w:val="26"/>
        </w:rPr>
        <w:t>8</w:t>
      </w:r>
      <w:r w:rsidR="00F165FE">
        <w:rPr>
          <w:rFonts w:ascii="Arial" w:hAnsi="Arial" w:cs="Arial"/>
          <w:sz w:val="24"/>
          <w:szCs w:val="26"/>
        </w:rPr>
        <w:t xml:space="preserve"> </w:t>
      </w:r>
      <w:r w:rsidR="0054098B">
        <w:rPr>
          <w:rFonts w:ascii="Arial" w:hAnsi="Arial" w:cs="Arial"/>
          <w:sz w:val="24"/>
          <w:szCs w:val="26"/>
        </w:rPr>
        <w:t xml:space="preserve">percent from </w:t>
      </w:r>
      <w:r w:rsidR="005D4261">
        <w:rPr>
          <w:rFonts w:ascii="Arial" w:hAnsi="Arial" w:cs="Arial"/>
          <w:sz w:val="24"/>
          <w:szCs w:val="26"/>
        </w:rPr>
        <w:t>12</w:t>
      </w:r>
      <w:r w:rsidR="00AF0EEC">
        <w:rPr>
          <w:rFonts w:ascii="Arial" w:hAnsi="Arial" w:cs="Arial"/>
          <w:sz w:val="24"/>
          <w:szCs w:val="26"/>
        </w:rPr>
        <w:t>.</w:t>
      </w:r>
      <w:r w:rsidR="005D4261">
        <w:rPr>
          <w:rFonts w:ascii="Arial" w:hAnsi="Arial" w:cs="Arial"/>
          <w:sz w:val="24"/>
          <w:szCs w:val="26"/>
        </w:rPr>
        <w:t>3</w:t>
      </w:r>
      <w:r w:rsidR="0054098B">
        <w:rPr>
          <w:rFonts w:ascii="Arial" w:hAnsi="Arial" w:cs="Arial"/>
          <w:sz w:val="24"/>
          <w:szCs w:val="26"/>
        </w:rPr>
        <w:t xml:space="preserve"> percent in the previous month</w:t>
      </w:r>
      <w:r w:rsidR="00CE1C02">
        <w:rPr>
          <w:rFonts w:ascii="Arial" w:hAnsi="Arial" w:cs="Arial"/>
          <w:sz w:val="24"/>
          <w:szCs w:val="26"/>
        </w:rPr>
        <w:t>, this shared</w:t>
      </w:r>
      <w:r w:rsidR="00385EEF">
        <w:rPr>
          <w:rFonts w:ascii="Arial" w:hAnsi="Arial" w:cs="Arial"/>
          <w:sz w:val="24"/>
          <w:szCs w:val="26"/>
        </w:rPr>
        <w:t xml:space="preserve"> </w:t>
      </w:r>
      <w:r w:rsidR="00F165FE">
        <w:rPr>
          <w:rFonts w:ascii="Arial" w:hAnsi="Arial" w:cs="Arial"/>
          <w:sz w:val="24"/>
          <w:szCs w:val="26"/>
        </w:rPr>
        <w:t>1</w:t>
      </w:r>
      <w:r w:rsidR="005D4261">
        <w:rPr>
          <w:rFonts w:ascii="Arial" w:hAnsi="Arial" w:cs="Arial"/>
          <w:sz w:val="24"/>
          <w:szCs w:val="26"/>
        </w:rPr>
        <w:t>.5</w:t>
      </w:r>
      <w:r w:rsidR="00E9097B">
        <w:rPr>
          <w:rFonts w:ascii="Arial" w:hAnsi="Arial" w:cs="Arial"/>
          <w:sz w:val="24"/>
          <w:szCs w:val="26"/>
        </w:rPr>
        <w:t xml:space="preserve"> percent in the inflation trend</w:t>
      </w:r>
      <w:r w:rsidR="0054098B">
        <w:rPr>
          <w:rFonts w:ascii="Arial" w:hAnsi="Arial" w:cs="Arial"/>
          <w:sz w:val="24"/>
          <w:szCs w:val="26"/>
        </w:rPr>
        <w:t>.</w:t>
      </w:r>
      <w:r w:rsidR="007A0B5B">
        <w:rPr>
          <w:rFonts w:ascii="Arial" w:hAnsi="Arial" w:cs="Arial"/>
          <w:sz w:val="24"/>
          <w:szCs w:val="26"/>
        </w:rPr>
        <w:t xml:space="preserve"> Other than that, the inflation rate of </w:t>
      </w:r>
      <w:r w:rsidR="005D4261">
        <w:rPr>
          <w:rFonts w:ascii="Arial" w:hAnsi="Arial" w:cs="Arial"/>
          <w:sz w:val="24"/>
          <w:szCs w:val="26"/>
        </w:rPr>
        <w:t>Restaurants and Accommodation Services</w:t>
      </w:r>
      <w:r w:rsidR="00385EEF">
        <w:rPr>
          <w:rFonts w:ascii="Arial" w:hAnsi="Arial" w:cs="Arial"/>
          <w:sz w:val="24"/>
          <w:szCs w:val="26"/>
        </w:rPr>
        <w:t xml:space="preserve"> also </w:t>
      </w:r>
      <w:r w:rsidR="005D4261">
        <w:rPr>
          <w:rFonts w:ascii="Arial" w:hAnsi="Arial" w:cs="Arial"/>
          <w:sz w:val="24"/>
          <w:szCs w:val="26"/>
        </w:rPr>
        <w:t>rose</w:t>
      </w:r>
      <w:r w:rsidR="00AF0EEC">
        <w:rPr>
          <w:rFonts w:ascii="Arial" w:hAnsi="Arial" w:cs="Arial"/>
          <w:sz w:val="24"/>
          <w:szCs w:val="26"/>
        </w:rPr>
        <w:t xml:space="preserve"> to </w:t>
      </w:r>
      <w:r w:rsidR="005D4261">
        <w:rPr>
          <w:rFonts w:ascii="Arial" w:hAnsi="Arial" w:cs="Arial"/>
          <w:sz w:val="24"/>
          <w:szCs w:val="26"/>
        </w:rPr>
        <w:t>5.9</w:t>
      </w:r>
      <w:r w:rsidR="00AF0EEC">
        <w:rPr>
          <w:rFonts w:ascii="Arial" w:hAnsi="Arial" w:cs="Arial"/>
          <w:sz w:val="24"/>
          <w:szCs w:val="26"/>
        </w:rPr>
        <w:t xml:space="preserve"> percent from </w:t>
      </w:r>
      <w:r w:rsidR="005D4261">
        <w:rPr>
          <w:rFonts w:ascii="Arial" w:hAnsi="Arial" w:cs="Arial"/>
          <w:sz w:val="24"/>
          <w:szCs w:val="26"/>
        </w:rPr>
        <w:t>5.7</w:t>
      </w:r>
      <w:r w:rsidR="007A0B5B">
        <w:rPr>
          <w:rFonts w:ascii="Arial" w:hAnsi="Arial" w:cs="Arial"/>
          <w:sz w:val="24"/>
          <w:szCs w:val="26"/>
        </w:rPr>
        <w:t xml:space="preserve"> percent</w:t>
      </w:r>
      <w:r w:rsidR="00E9097B">
        <w:rPr>
          <w:rFonts w:ascii="Arial" w:hAnsi="Arial" w:cs="Arial"/>
          <w:sz w:val="24"/>
          <w:szCs w:val="26"/>
        </w:rPr>
        <w:t xml:space="preserve">, which </w:t>
      </w:r>
      <w:r w:rsidR="00F165FE">
        <w:rPr>
          <w:rFonts w:ascii="Arial" w:hAnsi="Arial" w:cs="Arial"/>
          <w:sz w:val="24"/>
          <w:szCs w:val="26"/>
        </w:rPr>
        <w:t>contributed</w:t>
      </w:r>
      <w:r w:rsidR="005D4261">
        <w:rPr>
          <w:rFonts w:ascii="Arial" w:hAnsi="Arial" w:cs="Arial"/>
          <w:sz w:val="24"/>
          <w:szCs w:val="26"/>
        </w:rPr>
        <w:t xml:space="preserve"> 1</w:t>
      </w:r>
      <w:r w:rsidR="00385EEF">
        <w:rPr>
          <w:rFonts w:ascii="Arial" w:hAnsi="Arial" w:cs="Arial"/>
          <w:sz w:val="24"/>
          <w:szCs w:val="26"/>
        </w:rPr>
        <w:t>.2</w:t>
      </w:r>
      <w:r w:rsidR="00E9097B">
        <w:rPr>
          <w:rFonts w:ascii="Arial" w:hAnsi="Arial" w:cs="Arial"/>
          <w:sz w:val="24"/>
          <w:szCs w:val="26"/>
        </w:rPr>
        <w:t xml:space="preserve"> percent to the inflation trend.</w:t>
      </w:r>
      <w:r w:rsidR="005D4261">
        <w:rPr>
          <w:rFonts w:ascii="Arial" w:hAnsi="Arial" w:cs="Arial"/>
          <w:sz w:val="24"/>
          <w:szCs w:val="26"/>
        </w:rPr>
        <w:t xml:space="preserve"> Furthermore, the inf</w:t>
      </w:r>
      <w:r w:rsidR="00AF7853">
        <w:rPr>
          <w:rFonts w:ascii="Arial" w:hAnsi="Arial" w:cs="Arial"/>
          <w:sz w:val="24"/>
          <w:szCs w:val="26"/>
        </w:rPr>
        <w:t xml:space="preserve">lation rate of Personal </w:t>
      </w:r>
      <w:r w:rsidR="005D4261">
        <w:rPr>
          <w:rFonts w:ascii="Arial" w:hAnsi="Arial" w:cs="Arial"/>
          <w:sz w:val="24"/>
          <w:szCs w:val="26"/>
        </w:rPr>
        <w:t>Care, and Miscellaneous Goods and Services also increased to 1.6 percent from 1.5 percent in the previous month, this shared 0.4 percent in the inflation trend.</w:t>
      </w:r>
    </w:p>
    <w:p w14:paraId="03EE8A8C" w14:textId="610A205E" w:rsidR="007776B6" w:rsidRPr="00CD5B52" w:rsidRDefault="00BB06EA" w:rsidP="00962BA5">
      <w:pPr>
        <w:spacing w:line="264" w:lineRule="auto"/>
        <w:jc w:val="both"/>
        <w:rPr>
          <w:rFonts w:ascii="Arial" w:hAnsi="Arial" w:cs="Arial"/>
          <w:sz w:val="16"/>
          <w:szCs w:val="26"/>
        </w:rPr>
      </w:pPr>
      <w:r>
        <w:rPr>
          <w:rFonts w:ascii="Arial" w:hAnsi="Arial" w:cs="Arial"/>
          <w:sz w:val="24"/>
          <w:szCs w:val="26"/>
        </w:rPr>
        <w:t xml:space="preserve"> </w:t>
      </w:r>
    </w:p>
    <w:p w14:paraId="24DF6C31" w14:textId="5A27A68D" w:rsidR="007776B6" w:rsidRDefault="0054098B" w:rsidP="00D234B5">
      <w:pPr>
        <w:tabs>
          <w:tab w:val="left" w:pos="284"/>
        </w:tabs>
        <w:spacing w:line="264" w:lineRule="auto"/>
        <w:jc w:val="both"/>
        <w:rPr>
          <w:rFonts w:ascii="Arial" w:hAnsi="Arial" w:cs="Arial"/>
          <w:sz w:val="24"/>
          <w:szCs w:val="26"/>
        </w:rPr>
      </w:pPr>
      <w:r>
        <w:rPr>
          <w:rFonts w:ascii="Arial" w:hAnsi="Arial" w:cs="Arial"/>
          <w:sz w:val="24"/>
          <w:szCs w:val="26"/>
        </w:rPr>
        <w:t>Meanwhile</w:t>
      </w:r>
      <w:r w:rsidR="007776B6">
        <w:rPr>
          <w:rFonts w:ascii="Arial" w:hAnsi="Arial" w:cs="Arial"/>
          <w:sz w:val="24"/>
          <w:szCs w:val="26"/>
        </w:rPr>
        <w:t xml:space="preserve">, the </w:t>
      </w:r>
      <w:r w:rsidR="007776B6" w:rsidRPr="007776B6">
        <w:rPr>
          <w:rFonts w:ascii="Arial" w:hAnsi="Arial" w:cs="Arial"/>
          <w:sz w:val="24"/>
          <w:szCs w:val="26"/>
        </w:rPr>
        <w:t xml:space="preserve">annual upticks </w:t>
      </w:r>
      <w:r w:rsidR="007776B6">
        <w:rPr>
          <w:rFonts w:ascii="Arial" w:hAnsi="Arial" w:cs="Arial"/>
          <w:sz w:val="24"/>
          <w:szCs w:val="26"/>
        </w:rPr>
        <w:t>of the following indices</w:t>
      </w:r>
      <w:r>
        <w:rPr>
          <w:rFonts w:ascii="Arial" w:hAnsi="Arial" w:cs="Arial"/>
          <w:sz w:val="24"/>
          <w:szCs w:val="26"/>
        </w:rPr>
        <w:t xml:space="preserve"> remained the same</w:t>
      </w:r>
      <w:r w:rsidR="007776B6">
        <w:rPr>
          <w:rFonts w:ascii="Arial" w:hAnsi="Arial" w:cs="Arial"/>
          <w:sz w:val="24"/>
          <w:szCs w:val="26"/>
        </w:rPr>
        <w:t>:</w:t>
      </w:r>
    </w:p>
    <w:p w14:paraId="7CF990AB" w14:textId="277A3F93" w:rsidR="00E9097B" w:rsidRDefault="00E9097B" w:rsidP="00AF0EEC">
      <w:pPr>
        <w:pStyle w:val="ListParagraph"/>
        <w:numPr>
          <w:ilvl w:val="0"/>
          <w:numId w:val="6"/>
        </w:numPr>
        <w:rPr>
          <w:rFonts w:ascii="Arial" w:hAnsi="Arial" w:cs="Arial"/>
          <w:sz w:val="24"/>
          <w:szCs w:val="26"/>
        </w:rPr>
      </w:pPr>
      <w:r>
        <w:rPr>
          <w:rFonts w:ascii="Arial" w:hAnsi="Arial" w:cs="Arial"/>
          <w:sz w:val="24"/>
          <w:szCs w:val="26"/>
        </w:rPr>
        <w:t xml:space="preserve">Clothing and Footwear, </w:t>
      </w:r>
      <w:r w:rsidR="00486D66">
        <w:rPr>
          <w:rFonts w:ascii="Arial" w:hAnsi="Arial" w:cs="Arial"/>
          <w:sz w:val="24"/>
          <w:szCs w:val="26"/>
        </w:rPr>
        <w:t>1.0 percent;</w:t>
      </w:r>
    </w:p>
    <w:p w14:paraId="17E5BC87" w14:textId="4A3BF3BD" w:rsidR="00F8281F" w:rsidRDefault="00715F07" w:rsidP="00AF0EEC">
      <w:pPr>
        <w:pStyle w:val="ListParagraph"/>
        <w:numPr>
          <w:ilvl w:val="0"/>
          <w:numId w:val="6"/>
        </w:numPr>
        <w:rPr>
          <w:rFonts w:ascii="Arial" w:hAnsi="Arial" w:cs="Arial"/>
          <w:sz w:val="24"/>
          <w:szCs w:val="26"/>
        </w:rPr>
      </w:pPr>
      <w:r>
        <w:rPr>
          <w:rFonts w:ascii="Arial" w:hAnsi="Arial" w:cs="Arial"/>
          <w:sz w:val="24"/>
          <w:szCs w:val="26"/>
        </w:rPr>
        <w:t>Health, 1.2</w:t>
      </w:r>
      <w:r w:rsidR="00F8281F">
        <w:rPr>
          <w:rFonts w:ascii="Arial" w:hAnsi="Arial" w:cs="Arial"/>
          <w:sz w:val="24"/>
          <w:szCs w:val="26"/>
        </w:rPr>
        <w:t xml:space="preserve"> percent;</w:t>
      </w:r>
    </w:p>
    <w:p w14:paraId="50DA9B7A" w14:textId="07168ACA" w:rsidR="00AF0EEC" w:rsidRDefault="00AF0EEC" w:rsidP="00AF0EEC">
      <w:pPr>
        <w:pStyle w:val="ListParagraph"/>
        <w:numPr>
          <w:ilvl w:val="0"/>
          <w:numId w:val="6"/>
        </w:numPr>
        <w:rPr>
          <w:rFonts w:ascii="Arial" w:hAnsi="Arial" w:cs="Arial"/>
          <w:sz w:val="24"/>
          <w:szCs w:val="26"/>
        </w:rPr>
      </w:pPr>
      <w:r>
        <w:rPr>
          <w:rFonts w:ascii="Arial" w:hAnsi="Arial" w:cs="Arial"/>
          <w:sz w:val="24"/>
          <w:szCs w:val="26"/>
        </w:rPr>
        <w:t>Information and Communication, 1.8 percent;</w:t>
      </w:r>
      <w:r w:rsidR="00715F07">
        <w:rPr>
          <w:rFonts w:ascii="Arial" w:hAnsi="Arial" w:cs="Arial"/>
          <w:sz w:val="24"/>
          <w:szCs w:val="26"/>
        </w:rPr>
        <w:t xml:space="preserve"> and</w:t>
      </w:r>
    </w:p>
    <w:p w14:paraId="7E1C1DA1" w14:textId="1124B8C3" w:rsidR="00AF0EEC" w:rsidRDefault="00F8281F" w:rsidP="00AF0EEC">
      <w:pPr>
        <w:pStyle w:val="ListParagraph"/>
        <w:numPr>
          <w:ilvl w:val="0"/>
          <w:numId w:val="6"/>
        </w:numPr>
        <w:rPr>
          <w:rFonts w:ascii="Arial" w:hAnsi="Arial" w:cs="Arial"/>
          <w:sz w:val="24"/>
          <w:szCs w:val="26"/>
        </w:rPr>
      </w:pPr>
      <w:r>
        <w:rPr>
          <w:rFonts w:ascii="Arial" w:hAnsi="Arial" w:cs="Arial"/>
          <w:sz w:val="24"/>
          <w:szCs w:val="26"/>
        </w:rPr>
        <w:t xml:space="preserve">Financial Services, </w:t>
      </w:r>
      <w:r w:rsidR="00AF0EEC">
        <w:rPr>
          <w:rFonts w:ascii="Arial" w:hAnsi="Arial" w:cs="Arial"/>
          <w:sz w:val="24"/>
          <w:szCs w:val="26"/>
        </w:rPr>
        <w:t>0.0 percent</w:t>
      </w:r>
      <w:r w:rsidR="00715F07">
        <w:rPr>
          <w:rFonts w:ascii="Arial" w:hAnsi="Arial" w:cs="Arial"/>
          <w:sz w:val="24"/>
          <w:szCs w:val="26"/>
        </w:rPr>
        <w:t>.</w:t>
      </w:r>
    </w:p>
    <w:p w14:paraId="76E6A13A" w14:textId="5A7B2CE3" w:rsidR="00D83A1A" w:rsidRPr="00C207ED" w:rsidRDefault="00D83A1A" w:rsidP="00384443">
      <w:pPr>
        <w:spacing w:line="264" w:lineRule="auto"/>
        <w:jc w:val="both"/>
        <w:rPr>
          <w:rFonts w:ascii="Arial" w:hAnsi="Arial" w:cs="Arial"/>
          <w:sz w:val="16"/>
          <w:szCs w:val="26"/>
        </w:rPr>
      </w:pPr>
    </w:p>
    <w:p w14:paraId="0737212B" w14:textId="77777777" w:rsidR="009E4B23" w:rsidRDefault="004A6EC0" w:rsidP="00384443">
      <w:pPr>
        <w:spacing w:line="264" w:lineRule="auto"/>
        <w:jc w:val="both"/>
        <w:rPr>
          <w:rFonts w:ascii="Arial" w:hAnsi="Arial" w:cs="Arial"/>
          <w:sz w:val="24"/>
          <w:szCs w:val="26"/>
        </w:rPr>
      </w:pPr>
      <w:r>
        <w:rPr>
          <w:rFonts w:ascii="Arial" w:hAnsi="Arial" w:cs="Arial"/>
          <w:sz w:val="24"/>
          <w:szCs w:val="26"/>
        </w:rPr>
        <w:t>On the other hand, the inflation rate of the index Housing, Water, Electricity, Gas, and Other Fuels decreased to 0.0 perce</w:t>
      </w:r>
      <w:r w:rsidR="00C21CC7">
        <w:rPr>
          <w:rFonts w:ascii="Arial" w:hAnsi="Arial" w:cs="Arial"/>
          <w:sz w:val="24"/>
          <w:szCs w:val="26"/>
        </w:rPr>
        <w:t xml:space="preserve">nt from 3.4 percent in the previous month. The same goes with the index </w:t>
      </w:r>
      <w:r w:rsidR="00715F07">
        <w:rPr>
          <w:rFonts w:ascii="Arial" w:hAnsi="Arial" w:cs="Arial"/>
          <w:sz w:val="24"/>
          <w:szCs w:val="26"/>
        </w:rPr>
        <w:t>Furnishings, Household Equipment and Routine Household Maintenance</w:t>
      </w:r>
      <w:r>
        <w:rPr>
          <w:rFonts w:ascii="Arial" w:hAnsi="Arial" w:cs="Arial"/>
          <w:sz w:val="24"/>
          <w:szCs w:val="26"/>
        </w:rPr>
        <w:t xml:space="preserve"> </w:t>
      </w:r>
      <w:r w:rsidR="007B0319">
        <w:rPr>
          <w:rFonts w:ascii="Arial" w:hAnsi="Arial" w:cs="Arial"/>
          <w:sz w:val="24"/>
          <w:szCs w:val="26"/>
        </w:rPr>
        <w:t>which decreased to 3.6 percent from 3.0 percent in the previous month. Additionally, the inflation rate of Recreation, Sport and Culture</w:t>
      </w:r>
      <w:r w:rsidR="009E4B23">
        <w:rPr>
          <w:rFonts w:ascii="Arial" w:hAnsi="Arial" w:cs="Arial"/>
          <w:sz w:val="24"/>
          <w:szCs w:val="26"/>
        </w:rPr>
        <w:t xml:space="preserve"> also decreased to 2.7 percent from 3.2 percent in the previous month.</w:t>
      </w:r>
    </w:p>
    <w:p w14:paraId="4275E4A5" w14:textId="064B0623" w:rsidR="00715F07" w:rsidRDefault="009E4B23" w:rsidP="00384443">
      <w:pPr>
        <w:spacing w:line="264" w:lineRule="auto"/>
        <w:jc w:val="both"/>
        <w:rPr>
          <w:rFonts w:ascii="Arial" w:hAnsi="Arial" w:cs="Arial"/>
          <w:sz w:val="24"/>
          <w:szCs w:val="26"/>
        </w:rPr>
      </w:pPr>
      <w:r>
        <w:rPr>
          <w:rFonts w:ascii="Arial" w:hAnsi="Arial" w:cs="Arial"/>
          <w:sz w:val="24"/>
          <w:szCs w:val="26"/>
        </w:rPr>
        <w:t xml:space="preserve"> </w:t>
      </w:r>
    </w:p>
    <w:p w14:paraId="7554A1E9" w14:textId="6D20C60A" w:rsidR="002C4B24" w:rsidRDefault="00616E81" w:rsidP="00384443">
      <w:pPr>
        <w:spacing w:line="264" w:lineRule="auto"/>
        <w:jc w:val="both"/>
        <w:rPr>
          <w:rFonts w:ascii="Arial" w:hAnsi="Arial" w:cs="Arial"/>
          <w:sz w:val="24"/>
          <w:szCs w:val="26"/>
        </w:rPr>
      </w:pPr>
      <w:r>
        <w:rPr>
          <w:rFonts w:ascii="Arial" w:hAnsi="Arial" w:cs="Arial"/>
          <w:sz w:val="24"/>
          <w:szCs w:val="26"/>
        </w:rPr>
        <w:t>T</w:t>
      </w:r>
      <w:r w:rsidR="002B7CC8">
        <w:rPr>
          <w:rFonts w:ascii="Arial" w:hAnsi="Arial" w:cs="Arial"/>
          <w:sz w:val="24"/>
          <w:szCs w:val="26"/>
        </w:rPr>
        <w:t>he inf</w:t>
      </w:r>
      <w:r w:rsidR="00F92395">
        <w:rPr>
          <w:rFonts w:ascii="Arial" w:hAnsi="Arial" w:cs="Arial"/>
          <w:sz w:val="24"/>
          <w:szCs w:val="26"/>
        </w:rPr>
        <w:t xml:space="preserve">lation rate of the </w:t>
      </w:r>
      <w:r w:rsidR="009453DA">
        <w:rPr>
          <w:rFonts w:ascii="Arial" w:hAnsi="Arial" w:cs="Arial"/>
          <w:sz w:val="24"/>
          <w:szCs w:val="26"/>
        </w:rPr>
        <w:t>F</w:t>
      </w:r>
      <w:r w:rsidR="00926912">
        <w:rPr>
          <w:rFonts w:ascii="Arial" w:hAnsi="Arial" w:cs="Arial"/>
          <w:sz w:val="24"/>
          <w:szCs w:val="26"/>
        </w:rPr>
        <w:t xml:space="preserve">ood </w:t>
      </w:r>
      <w:r w:rsidR="00D60FD2">
        <w:rPr>
          <w:rFonts w:ascii="Arial" w:hAnsi="Arial" w:cs="Arial"/>
          <w:sz w:val="24"/>
          <w:szCs w:val="26"/>
        </w:rPr>
        <w:t>Index</w:t>
      </w:r>
      <w:r w:rsidR="00926912">
        <w:rPr>
          <w:rFonts w:ascii="Arial" w:hAnsi="Arial" w:cs="Arial"/>
          <w:sz w:val="24"/>
          <w:szCs w:val="26"/>
        </w:rPr>
        <w:t xml:space="preserve"> </w:t>
      </w:r>
      <w:r w:rsidR="009E4B23">
        <w:rPr>
          <w:rFonts w:ascii="Arial" w:hAnsi="Arial" w:cs="Arial"/>
          <w:sz w:val="24"/>
          <w:szCs w:val="26"/>
        </w:rPr>
        <w:t>increased</w:t>
      </w:r>
      <w:r w:rsidR="00E336D6">
        <w:rPr>
          <w:rFonts w:ascii="Arial" w:hAnsi="Arial" w:cs="Arial"/>
          <w:sz w:val="24"/>
          <w:szCs w:val="26"/>
        </w:rPr>
        <w:t xml:space="preserve"> </w:t>
      </w:r>
      <w:r w:rsidR="00926912">
        <w:rPr>
          <w:rFonts w:ascii="Arial" w:hAnsi="Arial" w:cs="Arial"/>
          <w:sz w:val="24"/>
          <w:szCs w:val="26"/>
        </w:rPr>
        <w:t>to</w:t>
      </w:r>
      <w:r w:rsidR="00BF6699">
        <w:rPr>
          <w:rFonts w:ascii="Arial" w:hAnsi="Arial" w:cs="Arial"/>
          <w:sz w:val="24"/>
          <w:szCs w:val="26"/>
        </w:rPr>
        <w:t xml:space="preserve"> </w:t>
      </w:r>
      <w:r w:rsidR="00E336D6">
        <w:rPr>
          <w:rFonts w:ascii="Arial" w:hAnsi="Arial" w:cs="Arial"/>
          <w:sz w:val="24"/>
          <w:szCs w:val="26"/>
        </w:rPr>
        <w:t>5</w:t>
      </w:r>
      <w:r w:rsidR="00D60FD2">
        <w:rPr>
          <w:rFonts w:ascii="Arial" w:hAnsi="Arial" w:cs="Arial"/>
          <w:sz w:val="24"/>
          <w:szCs w:val="26"/>
        </w:rPr>
        <w:t>.2</w:t>
      </w:r>
      <w:r w:rsidR="00E336D6">
        <w:rPr>
          <w:rFonts w:ascii="Arial" w:hAnsi="Arial" w:cs="Arial"/>
          <w:sz w:val="24"/>
          <w:szCs w:val="26"/>
        </w:rPr>
        <w:t xml:space="preserve"> percent from </w:t>
      </w:r>
      <w:r w:rsidR="00D60FD2">
        <w:rPr>
          <w:rFonts w:ascii="Arial" w:hAnsi="Arial" w:cs="Arial"/>
          <w:sz w:val="24"/>
          <w:szCs w:val="26"/>
        </w:rPr>
        <w:t>5</w:t>
      </w:r>
      <w:r w:rsidR="00E336D6">
        <w:rPr>
          <w:rFonts w:ascii="Arial" w:hAnsi="Arial" w:cs="Arial"/>
          <w:sz w:val="24"/>
          <w:szCs w:val="26"/>
        </w:rPr>
        <w:t>.1</w:t>
      </w:r>
      <w:r w:rsidR="002B7CC8">
        <w:rPr>
          <w:rFonts w:ascii="Arial" w:hAnsi="Arial" w:cs="Arial"/>
          <w:sz w:val="24"/>
          <w:szCs w:val="26"/>
        </w:rPr>
        <w:t xml:space="preserve"> in</w:t>
      </w:r>
      <w:r w:rsidR="00D60FD2">
        <w:rPr>
          <w:rFonts w:ascii="Arial" w:hAnsi="Arial" w:cs="Arial"/>
          <w:sz w:val="24"/>
          <w:szCs w:val="26"/>
        </w:rPr>
        <w:t xml:space="preserve"> July </w:t>
      </w:r>
      <w:r w:rsidR="00F92395">
        <w:rPr>
          <w:rFonts w:ascii="Arial" w:hAnsi="Arial" w:cs="Arial"/>
          <w:sz w:val="24"/>
          <w:szCs w:val="26"/>
        </w:rPr>
        <w:t>2023</w:t>
      </w:r>
      <w:r w:rsidR="00926912">
        <w:rPr>
          <w:rFonts w:ascii="Arial" w:hAnsi="Arial" w:cs="Arial"/>
          <w:sz w:val="24"/>
          <w:szCs w:val="26"/>
        </w:rPr>
        <w:t>. Moreover, the</w:t>
      </w:r>
      <w:r w:rsidR="00E336D6">
        <w:rPr>
          <w:rFonts w:ascii="Arial" w:hAnsi="Arial" w:cs="Arial"/>
          <w:sz w:val="24"/>
          <w:szCs w:val="26"/>
        </w:rPr>
        <w:t xml:space="preserve"> </w:t>
      </w:r>
      <w:r>
        <w:rPr>
          <w:rFonts w:ascii="Arial" w:hAnsi="Arial" w:cs="Arial"/>
          <w:sz w:val="24"/>
          <w:szCs w:val="26"/>
        </w:rPr>
        <w:t xml:space="preserve">inflation rate of </w:t>
      </w:r>
      <w:r w:rsidR="00145C6D">
        <w:rPr>
          <w:rFonts w:ascii="Arial" w:hAnsi="Arial" w:cs="Arial"/>
          <w:sz w:val="24"/>
          <w:szCs w:val="26"/>
        </w:rPr>
        <w:t xml:space="preserve">the food index </w:t>
      </w:r>
      <w:r w:rsidR="00D60FD2">
        <w:rPr>
          <w:rFonts w:ascii="Arial" w:hAnsi="Arial" w:cs="Arial"/>
          <w:sz w:val="24"/>
          <w:szCs w:val="26"/>
        </w:rPr>
        <w:t>Rice under the food group cereals in</w:t>
      </w:r>
      <w:r w:rsidR="00B74F78">
        <w:rPr>
          <w:rFonts w:ascii="Arial" w:hAnsi="Arial" w:cs="Arial"/>
          <w:sz w:val="24"/>
          <w:szCs w:val="26"/>
        </w:rPr>
        <w:t>creased to</w:t>
      </w:r>
      <w:r w:rsidR="00D60FD2">
        <w:rPr>
          <w:rFonts w:ascii="Arial" w:hAnsi="Arial" w:cs="Arial"/>
          <w:sz w:val="24"/>
          <w:szCs w:val="26"/>
        </w:rPr>
        <w:t xml:space="preserve"> 13.7 percent from 7.9</w:t>
      </w:r>
      <w:r w:rsidR="00D43CF7">
        <w:rPr>
          <w:rFonts w:ascii="Arial" w:hAnsi="Arial" w:cs="Arial"/>
          <w:sz w:val="24"/>
          <w:szCs w:val="26"/>
        </w:rPr>
        <w:t xml:space="preserve"> percent in the </w:t>
      </w:r>
      <w:r w:rsidR="002830A5">
        <w:rPr>
          <w:rFonts w:ascii="Arial" w:hAnsi="Arial" w:cs="Arial"/>
          <w:sz w:val="24"/>
          <w:szCs w:val="26"/>
        </w:rPr>
        <w:t>previous month. This contributed</w:t>
      </w:r>
      <w:r w:rsidR="00D60FD2">
        <w:rPr>
          <w:rFonts w:ascii="Arial" w:hAnsi="Arial" w:cs="Arial"/>
          <w:sz w:val="24"/>
          <w:szCs w:val="26"/>
        </w:rPr>
        <w:t xml:space="preserve"> 66.5</w:t>
      </w:r>
      <w:r w:rsidR="00D43CF7">
        <w:rPr>
          <w:rFonts w:ascii="Arial" w:hAnsi="Arial" w:cs="Arial"/>
          <w:sz w:val="24"/>
          <w:szCs w:val="26"/>
        </w:rPr>
        <w:t xml:space="preserve"> percent</w:t>
      </w:r>
      <w:r w:rsidR="002830A5">
        <w:rPr>
          <w:rFonts w:ascii="Arial" w:hAnsi="Arial" w:cs="Arial"/>
          <w:sz w:val="24"/>
          <w:szCs w:val="26"/>
        </w:rPr>
        <w:t>, which is the highest</w:t>
      </w:r>
      <w:r w:rsidR="00D43CF7">
        <w:rPr>
          <w:rFonts w:ascii="Arial" w:hAnsi="Arial" w:cs="Arial"/>
          <w:sz w:val="24"/>
          <w:szCs w:val="26"/>
        </w:rPr>
        <w:t xml:space="preserve"> share </w:t>
      </w:r>
      <w:r w:rsidR="00C207ED">
        <w:rPr>
          <w:rFonts w:ascii="Arial" w:hAnsi="Arial" w:cs="Arial"/>
          <w:sz w:val="24"/>
          <w:szCs w:val="26"/>
        </w:rPr>
        <w:t>in</w:t>
      </w:r>
      <w:r w:rsidR="00D43CF7">
        <w:rPr>
          <w:rFonts w:ascii="Arial" w:hAnsi="Arial" w:cs="Arial"/>
          <w:sz w:val="24"/>
          <w:szCs w:val="26"/>
        </w:rPr>
        <w:t xml:space="preserve"> the food group’s i</w:t>
      </w:r>
      <w:r w:rsidR="00462FF3">
        <w:rPr>
          <w:rFonts w:ascii="Arial" w:hAnsi="Arial" w:cs="Arial"/>
          <w:sz w:val="24"/>
          <w:szCs w:val="26"/>
        </w:rPr>
        <w:t xml:space="preserve">nflation trend. Following that, </w:t>
      </w:r>
      <w:r w:rsidR="00D60FD2">
        <w:rPr>
          <w:rFonts w:ascii="Arial" w:hAnsi="Arial" w:cs="Arial"/>
          <w:sz w:val="24"/>
          <w:szCs w:val="26"/>
        </w:rPr>
        <w:t>Vegetables, Tubers, Plantains, Cooking Bananas and Pulses in</w:t>
      </w:r>
      <w:r w:rsidR="00145C6D">
        <w:rPr>
          <w:rFonts w:ascii="Arial" w:hAnsi="Arial" w:cs="Arial"/>
          <w:sz w:val="24"/>
          <w:szCs w:val="26"/>
        </w:rPr>
        <w:t>creased to</w:t>
      </w:r>
      <w:r w:rsidR="00926912">
        <w:rPr>
          <w:rFonts w:ascii="Arial" w:hAnsi="Arial" w:cs="Arial"/>
          <w:sz w:val="24"/>
          <w:szCs w:val="26"/>
        </w:rPr>
        <w:t xml:space="preserve"> </w:t>
      </w:r>
      <w:r w:rsidR="00D60FD2">
        <w:rPr>
          <w:rFonts w:ascii="Arial" w:hAnsi="Arial" w:cs="Arial"/>
          <w:sz w:val="24"/>
          <w:szCs w:val="26"/>
        </w:rPr>
        <w:t>16.7 percent from 11.7</w:t>
      </w:r>
      <w:r w:rsidR="00F80C69">
        <w:rPr>
          <w:rFonts w:ascii="Arial" w:hAnsi="Arial" w:cs="Arial"/>
          <w:sz w:val="24"/>
          <w:szCs w:val="26"/>
        </w:rPr>
        <w:t xml:space="preserve"> p</w:t>
      </w:r>
      <w:r w:rsidR="00D60FD2">
        <w:rPr>
          <w:rFonts w:ascii="Arial" w:hAnsi="Arial" w:cs="Arial"/>
          <w:sz w:val="24"/>
          <w:szCs w:val="26"/>
        </w:rPr>
        <w:t>ercent in the previous month. This contributed 17.6</w:t>
      </w:r>
      <w:r w:rsidR="00F80C69">
        <w:rPr>
          <w:rFonts w:ascii="Arial" w:hAnsi="Arial" w:cs="Arial"/>
          <w:sz w:val="24"/>
          <w:szCs w:val="26"/>
        </w:rPr>
        <w:t xml:space="preserve"> percent </w:t>
      </w:r>
      <w:r>
        <w:rPr>
          <w:rFonts w:ascii="Arial" w:hAnsi="Arial" w:cs="Arial"/>
          <w:sz w:val="24"/>
          <w:szCs w:val="26"/>
        </w:rPr>
        <w:t xml:space="preserve">to the food group’s inflation </w:t>
      </w:r>
      <w:r w:rsidR="00F80C69">
        <w:rPr>
          <w:rFonts w:ascii="Arial" w:hAnsi="Arial" w:cs="Arial"/>
          <w:sz w:val="24"/>
          <w:szCs w:val="26"/>
        </w:rPr>
        <w:t>trend</w:t>
      </w:r>
      <w:r w:rsidR="00D1385A">
        <w:rPr>
          <w:rFonts w:ascii="Arial" w:hAnsi="Arial" w:cs="Arial"/>
          <w:sz w:val="24"/>
          <w:szCs w:val="26"/>
        </w:rPr>
        <w:t xml:space="preserve"> which is the </w:t>
      </w:r>
      <w:r w:rsidR="009453DA">
        <w:rPr>
          <w:rFonts w:ascii="Arial" w:hAnsi="Arial" w:cs="Arial"/>
          <w:sz w:val="24"/>
          <w:szCs w:val="26"/>
        </w:rPr>
        <w:t>second-</w:t>
      </w:r>
      <w:r w:rsidR="00D1385A">
        <w:rPr>
          <w:rFonts w:ascii="Arial" w:hAnsi="Arial" w:cs="Arial"/>
          <w:sz w:val="24"/>
          <w:szCs w:val="26"/>
        </w:rPr>
        <w:t>highest share</w:t>
      </w:r>
      <w:r w:rsidR="00F80C69">
        <w:rPr>
          <w:rFonts w:ascii="Arial" w:hAnsi="Arial" w:cs="Arial"/>
          <w:sz w:val="24"/>
          <w:szCs w:val="26"/>
        </w:rPr>
        <w:t>.</w:t>
      </w:r>
      <w:r w:rsidR="000B7E79">
        <w:rPr>
          <w:rFonts w:ascii="Arial" w:hAnsi="Arial" w:cs="Arial"/>
          <w:sz w:val="24"/>
          <w:szCs w:val="26"/>
        </w:rPr>
        <w:t xml:space="preserve"> </w:t>
      </w:r>
      <w:r w:rsidR="00D83A1A">
        <w:rPr>
          <w:rFonts w:ascii="Arial" w:hAnsi="Arial" w:cs="Arial"/>
          <w:sz w:val="24"/>
          <w:szCs w:val="26"/>
        </w:rPr>
        <w:t xml:space="preserve">Next to that, the </w:t>
      </w:r>
      <w:r w:rsidR="00D60FD2">
        <w:rPr>
          <w:rFonts w:ascii="Arial" w:hAnsi="Arial" w:cs="Arial"/>
          <w:sz w:val="24"/>
          <w:szCs w:val="26"/>
        </w:rPr>
        <w:t xml:space="preserve">Fish </w:t>
      </w:r>
      <w:r w:rsidR="00D60FD2">
        <w:rPr>
          <w:rFonts w:ascii="Arial" w:hAnsi="Arial" w:cs="Arial"/>
          <w:sz w:val="24"/>
          <w:szCs w:val="26"/>
        </w:rPr>
        <w:lastRenderedPageBreak/>
        <w:t>and Other Seafood’s inflation rate also in</w:t>
      </w:r>
      <w:r w:rsidR="009453DA" w:rsidRPr="009453DA">
        <w:rPr>
          <w:rFonts w:ascii="Arial" w:hAnsi="Arial" w:cs="Arial"/>
          <w:sz w:val="24"/>
          <w:szCs w:val="26"/>
        </w:rPr>
        <w:t>creased</w:t>
      </w:r>
      <w:r w:rsidR="00D83A1A">
        <w:rPr>
          <w:rFonts w:ascii="Arial" w:hAnsi="Arial" w:cs="Arial"/>
          <w:sz w:val="24"/>
          <w:szCs w:val="26"/>
        </w:rPr>
        <w:t xml:space="preserve"> </w:t>
      </w:r>
      <w:r w:rsidR="00D60FD2">
        <w:rPr>
          <w:rFonts w:ascii="Arial" w:hAnsi="Arial" w:cs="Arial"/>
          <w:sz w:val="24"/>
          <w:szCs w:val="26"/>
        </w:rPr>
        <w:t xml:space="preserve">to negative 8.9 percent </w:t>
      </w:r>
      <w:r w:rsidR="00D83A1A">
        <w:rPr>
          <w:rFonts w:ascii="Arial" w:hAnsi="Arial" w:cs="Arial"/>
          <w:sz w:val="24"/>
          <w:szCs w:val="26"/>
        </w:rPr>
        <w:t>from</w:t>
      </w:r>
      <w:r w:rsidR="00D60FD2">
        <w:rPr>
          <w:rFonts w:ascii="Arial" w:hAnsi="Arial" w:cs="Arial"/>
          <w:sz w:val="24"/>
          <w:szCs w:val="26"/>
        </w:rPr>
        <w:t xml:space="preserve"> negative 10.2</w:t>
      </w:r>
      <w:r w:rsidR="009453DA">
        <w:rPr>
          <w:rFonts w:ascii="Arial" w:hAnsi="Arial" w:cs="Arial"/>
          <w:sz w:val="24"/>
          <w:szCs w:val="26"/>
        </w:rPr>
        <w:t xml:space="preserve"> percent in the p</w:t>
      </w:r>
      <w:r w:rsidR="00D60FD2">
        <w:rPr>
          <w:rFonts w:ascii="Arial" w:hAnsi="Arial" w:cs="Arial"/>
          <w:sz w:val="24"/>
          <w:szCs w:val="26"/>
        </w:rPr>
        <w:t>revious month. This contributed 11.4</w:t>
      </w:r>
      <w:r w:rsidR="009453DA">
        <w:rPr>
          <w:rFonts w:ascii="Arial" w:hAnsi="Arial" w:cs="Arial"/>
          <w:sz w:val="24"/>
          <w:szCs w:val="26"/>
        </w:rPr>
        <w:t xml:space="preserve"> percent to the food group’s inflation trend which is the third-highest share. </w:t>
      </w:r>
      <w:r w:rsidR="007F7F2C">
        <w:rPr>
          <w:rFonts w:ascii="Arial" w:hAnsi="Arial" w:cs="Arial"/>
          <w:sz w:val="24"/>
          <w:szCs w:val="26"/>
        </w:rPr>
        <w:t xml:space="preserve">Moreover, the inflation rate of </w:t>
      </w:r>
      <w:r w:rsidR="00D60FD2">
        <w:rPr>
          <w:rFonts w:ascii="Arial" w:hAnsi="Arial" w:cs="Arial"/>
          <w:sz w:val="24"/>
          <w:szCs w:val="26"/>
        </w:rPr>
        <w:t>Fruits and Nuts rose to 9.8 percent from 6.8</w:t>
      </w:r>
      <w:r w:rsidR="002C4B24">
        <w:rPr>
          <w:rFonts w:ascii="Arial" w:hAnsi="Arial" w:cs="Arial"/>
          <w:sz w:val="24"/>
          <w:szCs w:val="26"/>
        </w:rPr>
        <w:t xml:space="preserve"> percent in the previou</w:t>
      </w:r>
      <w:r w:rsidR="00145C6D">
        <w:rPr>
          <w:rFonts w:ascii="Arial" w:hAnsi="Arial" w:cs="Arial"/>
          <w:sz w:val="24"/>
          <w:szCs w:val="26"/>
        </w:rPr>
        <w:t xml:space="preserve">s month, it shared </w:t>
      </w:r>
      <w:r w:rsidR="00D60FD2">
        <w:rPr>
          <w:rFonts w:ascii="Arial" w:hAnsi="Arial" w:cs="Arial"/>
          <w:sz w:val="24"/>
          <w:szCs w:val="26"/>
        </w:rPr>
        <w:t>4.4</w:t>
      </w:r>
      <w:r w:rsidR="00C207ED">
        <w:rPr>
          <w:rFonts w:ascii="Arial" w:hAnsi="Arial" w:cs="Arial"/>
          <w:sz w:val="24"/>
          <w:szCs w:val="26"/>
        </w:rPr>
        <w:t xml:space="preserve"> percent to</w:t>
      </w:r>
      <w:r w:rsidR="002C4B24">
        <w:rPr>
          <w:rFonts w:ascii="Arial" w:hAnsi="Arial" w:cs="Arial"/>
          <w:sz w:val="24"/>
          <w:szCs w:val="26"/>
        </w:rPr>
        <w:t xml:space="preserve"> the food group’s in</w:t>
      </w:r>
      <w:r w:rsidR="008A7997">
        <w:rPr>
          <w:rFonts w:ascii="Arial" w:hAnsi="Arial" w:cs="Arial"/>
          <w:sz w:val="24"/>
          <w:szCs w:val="26"/>
        </w:rPr>
        <w:t>flation trend which is the fourth</w:t>
      </w:r>
      <w:r w:rsidR="002C4B24">
        <w:rPr>
          <w:rFonts w:ascii="Arial" w:hAnsi="Arial" w:cs="Arial"/>
          <w:sz w:val="24"/>
          <w:szCs w:val="26"/>
        </w:rPr>
        <w:t>-highest share.</w:t>
      </w:r>
      <w:r w:rsidR="00D60FD2">
        <w:rPr>
          <w:rFonts w:ascii="Arial" w:hAnsi="Arial" w:cs="Arial"/>
          <w:sz w:val="24"/>
          <w:szCs w:val="26"/>
        </w:rPr>
        <w:t xml:space="preserve"> The same goes for Ready-made Food and Other Food Products </w:t>
      </w:r>
      <w:proofErr w:type="spellStart"/>
      <w:r w:rsidR="00D60FD2">
        <w:rPr>
          <w:rFonts w:ascii="Arial" w:hAnsi="Arial" w:cs="Arial"/>
          <w:sz w:val="24"/>
          <w:szCs w:val="26"/>
        </w:rPr>
        <w:t>n.e.c</w:t>
      </w:r>
      <w:proofErr w:type="spellEnd"/>
      <w:r w:rsidR="00D60FD2">
        <w:rPr>
          <w:rFonts w:ascii="Arial" w:hAnsi="Arial" w:cs="Arial"/>
          <w:sz w:val="24"/>
          <w:szCs w:val="26"/>
        </w:rPr>
        <w:t>.</w:t>
      </w:r>
      <w:r w:rsidR="00C36009">
        <w:rPr>
          <w:rFonts w:ascii="Arial" w:hAnsi="Arial" w:cs="Arial"/>
          <w:sz w:val="24"/>
          <w:szCs w:val="26"/>
        </w:rPr>
        <w:t xml:space="preserve"> inflation rate </w:t>
      </w:r>
      <w:r w:rsidR="00C207ED">
        <w:rPr>
          <w:rFonts w:ascii="Arial" w:hAnsi="Arial" w:cs="Arial"/>
          <w:sz w:val="24"/>
          <w:szCs w:val="26"/>
        </w:rPr>
        <w:t xml:space="preserve">which </w:t>
      </w:r>
      <w:r w:rsidR="00C36009">
        <w:rPr>
          <w:rFonts w:ascii="Arial" w:hAnsi="Arial" w:cs="Arial"/>
          <w:sz w:val="24"/>
          <w:szCs w:val="26"/>
        </w:rPr>
        <w:t>rose to 4.8 percent from 4.7 percent, it shared 0.2 percent of the food group’s inflation trend.</w:t>
      </w:r>
    </w:p>
    <w:p w14:paraId="54445C00" w14:textId="77777777" w:rsidR="00D60FD2" w:rsidRPr="00CD5B52" w:rsidRDefault="00D60FD2" w:rsidP="00384443">
      <w:pPr>
        <w:spacing w:line="264" w:lineRule="auto"/>
        <w:jc w:val="both"/>
        <w:rPr>
          <w:rFonts w:ascii="Arial" w:hAnsi="Arial" w:cs="Arial"/>
          <w:sz w:val="16"/>
          <w:szCs w:val="26"/>
        </w:rPr>
      </w:pPr>
    </w:p>
    <w:p w14:paraId="4F51B937" w14:textId="2D9AB980" w:rsidR="00926912" w:rsidRDefault="002830A5" w:rsidP="001B52E0">
      <w:pPr>
        <w:spacing w:line="264" w:lineRule="auto"/>
        <w:jc w:val="both"/>
        <w:rPr>
          <w:rFonts w:ascii="Arial" w:hAnsi="Arial" w:cs="Arial"/>
          <w:sz w:val="24"/>
          <w:szCs w:val="26"/>
        </w:rPr>
      </w:pPr>
      <w:r>
        <w:rPr>
          <w:rFonts w:ascii="Arial" w:hAnsi="Arial" w:cs="Arial"/>
          <w:sz w:val="24"/>
          <w:szCs w:val="26"/>
        </w:rPr>
        <w:t>On the other hand</w:t>
      </w:r>
      <w:r w:rsidR="00D1385A">
        <w:rPr>
          <w:rFonts w:ascii="Arial" w:hAnsi="Arial" w:cs="Arial"/>
          <w:sz w:val="24"/>
          <w:szCs w:val="26"/>
        </w:rPr>
        <w:t xml:space="preserve">, the inflation rate of </w:t>
      </w:r>
      <w:r>
        <w:rPr>
          <w:rFonts w:ascii="Arial" w:hAnsi="Arial" w:cs="Arial"/>
          <w:sz w:val="24"/>
          <w:szCs w:val="26"/>
        </w:rPr>
        <w:t xml:space="preserve">the following food groups </w:t>
      </w:r>
      <w:r w:rsidR="00C36009">
        <w:rPr>
          <w:rFonts w:ascii="Arial" w:hAnsi="Arial" w:cs="Arial"/>
          <w:sz w:val="24"/>
          <w:szCs w:val="26"/>
        </w:rPr>
        <w:t>de</w:t>
      </w:r>
      <w:r w:rsidR="001B52E0">
        <w:rPr>
          <w:rFonts w:ascii="Arial" w:hAnsi="Arial" w:cs="Arial"/>
          <w:sz w:val="24"/>
          <w:szCs w:val="26"/>
        </w:rPr>
        <w:t>creased:</w:t>
      </w:r>
    </w:p>
    <w:p w14:paraId="462F294D" w14:textId="16A82BAD" w:rsidR="00462FF3" w:rsidRDefault="00C36009" w:rsidP="00462FF3">
      <w:pPr>
        <w:pStyle w:val="ListParagraph"/>
        <w:numPr>
          <w:ilvl w:val="0"/>
          <w:numId w:val="8"/>
        </w:numPr>
        <w:spacing w:line="264" w:lineRule="auto"/>
        <w:jc w:val="both"/>
        <w:rPr>
          <w:rFonts w:ascii="Arial" w:hAnsi="Arial" w:cs="Arial"/>
          <w:sz w:val="24"/>
          <w:szCs w:val="26"/>
        </w:rPr>
      </w:pPr>
      <w:r>
        <w:rPr>
          <w:rFonts w:ascii="Arial" w:hAnsi="Arial" w:cs="Arial"/>
          <w:sz w:val="24"/>
          <w:szCs w:val="26"/>
        </w:rPr>
        <w:t>Corn, 19</w:t>
      </w:r>
      <w:r w:rsidR="00847F60">
        <w:rPr>
          <w:rFonts w:ascii="Arial" w:hAnsi="Arial" w:cs="Arial"/>
          <w:sz w:val="24"/>
          <w:szCs w:val="26"/>
        </w:rPr>
        <w:t>.9</w:t>
      </w:r>
      <w:r w:rsidR="002830A5">
        <w:rPr>
          <w:rFonts w:ascii="Arial" w:hAnsi="Arial" w:cs="Arial"/>
          <w:sz w:val="24"/>
          <w:szCs w:val="26"/>
        </w:rPr>
        <w:t xml:space="preserve"> percent;</w:t>
      </w:r>
    </w:p>
    <w:p w14:paraId="4CA04072" w14:textId="0E585042" w:rsidR="00C36009" w:rsidRDefault="00C36009" w:rsidP="00462FF3">
      <w:pPr>
        <w:pStyle w:val="ListParagraph"/>
        <w:numPr>
          <w:ilvl w:val="0"/>
          <w:numId w:val="8"/>
        </w:numPr>
        <w:spacing w:line="264" w:lineRule="auto"/>
        <w:jc w:val="both"/>
        <w:rPr>
          <w:rFonts w:ascii="Arial" w:hAnsi="Arial" w:cs="Arial"/>
          <w:sz w:val="24"/>
          <w:szCs w:val="26"/>
        </w:rPr>
      </w:pPr>
      <w:r>
        <w:rPr>
          <w:rFonts w:ascii="Arial" w:hAnsi="Arial" w:cs="Arial"/>
          <w:sz w:val="24"/>
          <w:szCs w:val="26"/>
        </w:rPr>
        <w:t>Flour, Bread and Other Bakery Products, Pasta Products, and Other Cereals; 6.8 percent;</w:t>
      </w:r>
    </w:p>
    <w:p w14:paraId="6D0BB4F0" w14:textId="4CC89F06" w:rsidR="00C36009" w:rsidRDefault="00C36009" w:rsidP="00462FF3">
      <w:pPr>
        <w:pStyle w:val="ListParagraph"/>
        <w:numPr>
          <w:ilvl w:val="0"/>
          <w:numId w:val="8"/>
        </w:numPr>
        <w:spacing w:line="264" w:lineRule="auto"/>
        <w:jc w:val="both"/>
        <w:rPr>
          <w:rFonts w:ascii="Arial" w:hAnsi="Arial" w:cs="Arial"/>
          <w:sz w:val="24"/>
          <w:szCs w:val="26"/>
        </w:rPr>
      </w:pPr>
      <w:r>
        <w:rPr>
          <w:rFonts w:ascii="Arial" w:hAnsi="Arial" w:cs="Arial"/>
          <w:sz w:val="24"/>
          <w:szCs w:val="26"/>
        </w:rPr>
        <w:t>Meat and Other Parts of Slaughtered Land Animals, 2.2 percent;</w:t>
      </w:r>
    </w:p>
    <w:p w14:paraId="47897C80" w14:textId="14A2C478" w:rsidR="00C36009" w:rsidRDefault="00C36009" w:rsidP="00C36009">
      <w:pPr>
        <w:pStyle w:val="ListParagraph"/>
        <w:numPr>
          <w:ilvl w:val="0"/>
          <w:numId w:val="8"/>
        </w:numPr>
        <w:spacing w:line="264" w:lineRule="auto"/>
        <w:jc w:val="both"/>
        <w:rPr>
          <w:rFonts w:ascii="Arial" w:hAnsi="Arial" w:cs="Arial"/>
          <w:sz w:val="24"/>
          <w:szCs w:val="26"/>
        </w:rPr>
      </w:pPr>
      <w:r>
        <w:rPr>
          <w:rFonts w:ascii="Arial" w:hAnsi="Arial" w:cs="Arial"/>
          <w:sz w:val="24"/>
          <w:szCs w:val="26"/>
        </w:rPr>
        <w:t>Milk, Other Dairy Products and Eggs, 7.2 percent;</w:t>
      </w:r>
    </w:p>
    <w:p w14:paraId="4357DC2D" w14:textId="0520E608" w:rsidR="00C36009" w:rsidRDefault="00C36009" w:rsidP="00C36009">
      <w:pPr>
        <w:pStyle w:val="ListParagraph"/>
        <w:numPr>
          <w:ilvl w:val="0"/>
          <w:numId w:val="8"/>
        </w:numPr>
        <w:spacing w:line="264" w:lineRule="auto"/>
        <w:jc w:val="both"/>
        <w:rPr>
          <w:rFonts w:ascii="Arial" w:hAnsi="Arial" w:cs="Arial"/>
          <w:sz w:val="24"/>
          <w:szCs w:val="26"/>
        </w:rPr>
      </w:pPr>
      <w:r>
        <w:rPr>
          <w:rFonts w:ascii="Arial" w:hAnsi="Arial" w:cs="Arial"/>
          <w:sz w:val="24"/>
          <w:szCs w:val="26"/>
        </w:rPr>
        <w:t xml:space="preserve">Oils and </w:t>
      </w:r>
      <w:r w:rsidR="00C207ED">
        <w:rPr>
          <w:rFonts w:ascii="Arial" w:hAnsi="Arial" w:cs="Arial"/>
          <w:sz w:val="24"/>
          <w:szCs w:val="26"/>
        </w:rPr>
        <w:t>Fats, negative 5.0 percent; and</w:t>
      </w:r>
    </w:p>
    <w:p w14:paraId="02E7D876" w14:textId="3D9F15B3" w:rsidR="002830A5" w:rsidRDefault="00C207ED" w:rsidP="002830A5">
      <w:pPr>
        <w:pStyle w:val="ListParagraph"/>
        <w:numPr>
          <w:ilvl w:val="0"/>
          <w:numId w:val="8"/>
        </w:numPr>
        <w:spacing w:line="264" w:lineRule="auto"/>
        <w:jc w:val="both"/>
        <w:rPr>
          <w:rFonts w:ascii="Arial" w:hAnsi="Arial" w:cs="Arial"/>
          <w:sz w:val="24"/>
          <w:szCs w:val="26"/>
        </w:rPr>
      </w:pPr>
      <w:r>
        <w:rPr>
          <w:rFonts w:ascii="Arial" w:hAnsi="Arial" w:cs="Arial"/>
          <w:sz w:val="24"/>
          <w:szCs w:val="26"/>
        </w:rPr>
        <w:t>Sugar, Confectionery and Desserts</w:t>
      </w:r>
      <w:r w:rsidR="00926912">
        <w:rPr>
          <w:rFonts w:ascii="Arial" w:hAnsi="Arial" w:cs="Arial"/>
          <w:sz w:val="24"/>
          <w:szCs w:val="26"/>
        </w:rPr>
        <w:t xml:space="preserve">, </w:t>
      </w:r>
      <w:r>
        <w:rPr>
          <w:rFonts w:ascii="Arial" w:hAnsi="Arial" w:cs="Arial"/>
          <w:sz w:val="24"/>
          <w:szCs w:val="26"/>
        </w:rPr>
        <w:t>2.1</w:t>
      </w:r>
      <w:r w:rsidR="00847F60">
        <w:rPr>
          <w:rFonts w:ascii="Arial" w:hAnsi="Arial" w:cs="Arial"/>
          <w:sz w:val="24"/>
          <w:szCs w:val="26"/>
        </w:rPr>
        <w:t xml:space="preserve"> percent.</w:t>
      </w:r>
    </w:p>
    <w:p w14:paraId="50CDA568" w14:textId="101506E4" w:rsidR="00847F60" w:rsidRPr="00C207ED" w:rsidRDefault="00847F60" w:rsidP="00847F60">
      <w:pPr>
        <w:spacing w:line="264" w:lineRule="auto"/>
        <w:jc w:val="both"/>
        <w:rPr>
          <w:rFonts w:ascii="Arial" w:hAnsi="Arial" w:cs="Arial"/>
          <w:sz w:val="16"/>
          <w:szCs w:val="26"/>
        </w:rPr>
      </w:pPr>
    </w:p>
    <w:p w14:paraId="034BD968" w14:textId="732678C7" w:rsidR="00503D82" w:rsidRPr="00B46963" w:rsidRDefault="00C57456" w:rsidP="00775B83">
      <w:pPr>
        <w:jc w:val="center"/>
        <w:rPr>
          <w:rFonts w:ascii="Arial" w:hAnsi="Arial" w:cs="Arial"/>
          <w:sz w:val="24"/>
          <w:szCs w:val="28"/>
        </w:rPr>
      </w:pPr>
      <w:r w:rsidRPr="00B46963">
        <w:rPr>
          <w:rFonts w:ascii="Arial" w:hAnsi="Arial" w:cs="Arial"/>
          <w:b/>
          <w:spacing w:val="9"/>
          <w:w w:val="105"/>
          <w:sz w:val="24"/>
          <w:szCs w:val="28"/>
        </w:rPr>
        <w:t>Table</w:t>
      </w:r>
      <w:r w:rsidRPr="00B46963">
        <w:rPr>
          <w:rFonts w:ascii="Arial" w:hAnsi="Arial" w:cs="Arial"/>
          <w:b/>
          <w:spacing w:val="24"/>
          <w:w w:val="105"/>
          <w:sz w:val="24"/>
          <w:szCs w:val="28"/>
        </w:rPr>
        <w:t xml:space="preserve"> </w:t>
      </w:r>
      <w:r w:rsidRPr="00B46963">
        <w:rPr>
          <w:rFonts w:ascii="Arial" w:hAnsi="Arial" w:cs="Arial"/>
          <w:b/>
          <w:w w:val="105"/>
          <w:sz w:val="24"/>
          <w:szCs w:val="28"/>
        </w:rPr>
        <w:t>B.</w:t>
      </w:r>
      <w:r w:rsidRPr="00B46963">
        <w:rPr>
          <w:rFonts w:ascii="Arial" w:hAnsi="Arial" w:cs="Arial"/>
          <w:b/>
          <w:spacing w:val="28"/>
          <w:w w:val="105"/>
          <w:sz w:val="24"/>
          <w:szCs w:val="28"/>
        </w:rPr>
        <w:t xml:space="preserve"> </w:t>
      </w:r>
      <w:r w:rsidRPr="00B46963">
        <w:rPr>
          <w:rFonts w:ascii="Arial" w:hAnsi="Arial" w:cs="Arial"/>
          <w:b/>
          <w:w w:val="105"/>
          <w:sz w:val="24"/>
          <w:szCs w:val="28"/>
        </w:rPr>
        <w:t>Year-on-Year</w:t>
      </w:r>
      <w:r w:rsidRPr="00B46963">
        <w:rPr>
          <w:rFonts w:ascii="Arial" w:hAnsi="Arial" w:cs="Arial"/>
          <w:b/>
          <w:spacing w:val="25"/>
          <w:w w:val="105"/>
          <w:sz w:val="24"/>
          <w:szCs w:val="28"/>
        </w:rPr>
        <w:t xml:space="preserve"> </w:t>
      </w:r>
      <w:r w:rsidRPr="00B46963">
        <w:rPr>
          <w:rFonts w:ascii="Arial" w:hAnsi="Arial" w:cs="Arial"/>
          <w:b/>
          <w:w w:val="105"/>
          <w:sz w:val="24"/>
          <w:szCs w:val="28"/>
        </w:rPr>
        <w:t>Inflation</w:t>
      </w:r>
      <w:r w:rsidRPr="00B46963">
        <w:rPr>
          <w:rFonts w:ascii="Arial" w:hAnsi="Arial" w:cs="Arial"/>
          <w:b/>
          <w:spacing w:val="22"/>
          <w:w w:val="105"/>
          <w:sz w:val="24"/>
          <w:szCs w:val="28"/>
        </w:rPr>
        <w:t xml:space="preserve"> </w:t>
      </w:r>
      <w:r w:rsidRPr="00B46963">
        <w:rPr>
          <w:rFonts w:ascii="Arial" w:hAnsi="Arial" w:cs="Arial"/>
          <w:b/>
          <w:spacing w:val="10"/>
          <w:w w:val="105"/>
          <w:sz w:val="24"/>
          <w:szCs w:val="28"/>
        </w:rPr>
        <w:t>Rates</w:t>
      </w:r>
      <w:r w:rsidRPr="00B46963">
        <w:rPr>
          <w:rFonts w:ascii="Arial" w:hAnsi="Arial" w:cs="Arial"/>
          <w:b/>
          <w:spacing w:val="24"/>
          <w:w w:val="105"/>
          <w:sz w:val="24"/>
          <w:szCs w:val="28"/>
        </w:rPr>
        <w:t xml:space="preserve"> </w:t>
      </w:r>
      <w:r w:rsidRPr="00B46963">
        <w:rPr>
          <w:rFonts w:ascii="Arial" w:hAnsi="Arial" w:cs="Arial"/>
          <w:b/>
          <w:w w:val="105"/>
          <w:sz w:val="24"/>
          <w:szCs w:val="28"/>
        </w:rPr>
        <w:t>in</w:t>
      </w:r>
      <w:r w:rsidRPr="00B46963">
        <w:rPr>
          <w:rFonts w:ascii="Arial" w:hAnsi="Arial" w:cs="Arial"/>
          <w:b/>
          <w:spacing w:val="22"/>
          <w:w w:val="105"/>
          <w:sz w:val="24"/>
          <w:szCs w:val="28"/>
        </w:rPr>
        <w:t xml:space="preserve"> </w:t>
      </w:r>
      <w:r w:rsidRPr="00B46963">
        <w:rPr>
          <w:rFonts w:ascii="Arial" w:hAnsi="Arial" w:cs="Arial"/>
          <w:b/>
          <w:w w:val="105"/>
          <w:sz w:val="24"/>
          <w:szCs w:val="28"/>
        </w:rPr>
        <w:t>the</w:t>
      </w:r>
      <w:r w:rsidRPr="00B46963">
        <w:rPr>
          <w:rFonts w:ascii="Arial" w:hAnsi="Arial" w:cs="Arial"/>
          <w:b/>
          <w:spacing w:val="24"/>
          <w:w w:val="105"/>
          <w:sz w:val="24"/>
          <w:szCs w:val="28"/>
        </w:rPr>
        <w:t xml:space="preserve"> </w:t>
      </w:r>
      <w:r w:rsidRPr="00B46963">
        <w:rPr>
          <w:rFonts w:ascii="Arial" w:hAnsi="Arial" w:cs="Arial"/>
          <w:b/>
          <w:spacing w:val="9"/>
          <w:w w:val="105"/>
          <w:sz w:val="24"/>
          <w:szCs w:val="28"/>
        </w:rPr>
        <w:t>Philippines,</w:t>
      </w:r>
      <w:r w:rsidRPr="00B46963">
        <w:rPr>
          <w:rFonts w:ascii="Arial" w:hAnsi="Arial" w:cs="Arial"/>
          <w:b/>
          <w:spacing w:val="29"/>
          <w:w w:val="105"/>
          <w:sz w:val="24"/>
          <w:szCs w:val="28"/>
        </w:rPr>
        <w:t xml:space="preserve"> </w:t>
      </w:r>
      <w:r w:rsidRPr="00B46963">
        <w:rPr>
          <w:rFonts w:ascii="Arial" w:hAnsi="Arial" w:cs="Arial"/>
          <w:b/>
          <w:w w:val="105"/>
          <w:sz w:val="24"/>
          <w:szCs w:val="28"/>
        </w:rPr>
        <w:t>All</w:t>
      </w:r>
      <w:r w:rsidRPr="00B46963">
        <w:rPr>
          <w:rFonts w:ascii="Arial" w:hAnsi="Arial" w:cs="Arial"/>
          <w:b/>
          <w:spacing w:val="26"/>
          <w:w w:val="105"/>
          <w:sz w:val="24"/>
          <w:szCs w:val="28"/>
        </w:rPr>
        <w:t xml:space="preserve"> </w:t>
      </w:r>
      <w:r w:rsidRPr="00B46963">
        <w:rPr>
          <w:rFonts w:ascii="Arial" w:hAnsi="Arial" w:cs="Arial"/>
          <w:b/>
          <w:spacing w:val="10"/>
          <w:w w:val="105"/>
          <w:sz w:val="24"/>
          <w:szCs w:val="28"/>
        </w:rPr>
        <w:t>Items</w:t>
      </w:r>
    </w:p>
    <w:p w14:paraId="5050EDE1" w14:textId="36A56CCE" w:rsidR="00C57456" w:rsidRPr="00B46963" w:rsidRDefault="00C57456" w:rsidP="00775B83">
      <w:pPr>
        <w:ind w:left="284"/>
        <w:jc w:val="center"/>
        <w:rPr>
          <w:rFonts w:ascii="Arial" w:hAnsi="Arial" w:cs="Arial"/>
          <w:b/>
          <w:sz w:val="24"/>
          <w:szCs w:val="28"/>
        </w:rPr>
      </w:pPr>
      <w:r w:rsidRPr="00B46963">
        <w:rPr>
          <w:rFonts w:ascii="Arial" w:hAnsi="Arial" w:cs="Arial"/>
          <w:b/>
          <w:w w:val="105"/>
          <w:sz w:val="24"/>
          <w:szCs w:val="28"/>
        </w:rPr>
        <w:t>In</w:t>
      </w:r>
      <w:r w:rsidRPr="00B46963">
        <w:rPr>
          <w:rFonts w:ascii="Arial" w:hAnsi="Arial" w:cs="Arial"/>
          <w:b/>
          <w:spacing w:val="13"/>
          <w:w w:val="105"/>
          <w:sz w:val="24"/>
          <w:szCs w:val="28"/>
        </w:rPr>
        <w:t xml:space="preserve"> </w:t>
      </w:r>
      <w:r w:rsidRPr="00B46963">
        <w:rPr>
          <w:rFonts w:ascii="Arial" w:hAnsi="Arial" w:cs="Arial"/>
          <w:b/>
          <w:w w:val="105"/>
          <w:sz w:val="24"/>
          <w:szCs w:val="28"/>
        </w:rPr>
        <w:t>Percent</w:t>
      </w:r>
    </w:p>
    <w:p w14:paraId="4BC2A7F4" w14:textId="3A5D4D92" w:rsidR="00C57456" w:rsidRPr="00B46963" w:rsidRDefault="00C57456" w:rsidP="00775B83">
      <w:pPr>
        <w:ind w:left="619"/>
        <w:jc w:val="center"/>
        <w:rPr>
          <w:rFonts w:ascii="Arial" w:hAnsi="Arial" w:cs="Arial"/>
          <w:b/>
          <w:sz w:val="24"/>
          <w:szCs w:val="28"/>
        </w:rPr>
      </w:pPr>
      <w:r w:rsidRPr="00B46963">
        <w:rPr>
          <w:rFonts w:ascii="Arial" w:hAnsi="Arial" w:cs="Arial"/>
          <w:b/>
          <w:w w:val="105"/>
          <w:sz w:val="24"/>
          <w:szCs w:val="28"/>
        </w:rPr>
        <w:t>January</w:t>
      </w:r>
      <w:r w:rsidRPr="00B46963">
        <w:rPr>
          <w:rFonts w:ascii="Arial" w:hAnsi="Arial" w:cs="Arial"/>
          <w:b/>
          <w:spacing w:val="33"/>
          <w:w w:val="105"/>
          <w:sz w:val="24"/>
          <w:szCs w:val="28"/>
        </w:rPr>
        <w:t xml:space="preserve"> </w:t>
      </w:r>
      <w:r w:rsidRPr="00B46963">
        <w:rPr>
          <w:rFonts w:ascii="Arial" w:hAnsi="Arial" w:cs="Arial"/>
          <w:b/>
          <w:w w:val="105"/>
          <w:sz w:val="24"/>
          <w:szCs w:val="28"/>
        </w:rPr>
        <w:t>2019</w:t>
      </w:r>
      <w:r w:rsidRPr="00B46963">
        <w:rPr>
          <w:rFonts w:ascii="Arial" w:hAnsi="Arial" w:cs="Arial"/>
          <w:b/>
          <w:spacing w:val="33"/>
          <w:w w:val="105"/>
          <w:sz w:val="24"/>
          <w:szCs w:val="28"/>
        </w:rPr>
        <w:t xml:space="preserve"> </w:t>
      </w:r>
      <w:r w:rsidRPr="00B46963">
        <w:rPr>
          <w:rFonts w:ascii="Arial" w:hAnsi="Arial" w:cs="Arial"/>
          <w:b/>
          <w:w w:val="105"/>
          <w:sz w:val="24"/>
          <w:szCs w:val="28"/>
        </w:rPr>
        <w:t>–</w:t>
      </w:r>
      <w:r w:rsidR="00C207ED">
        <w:rPr>
          <w:rFonts w:ascii="Arial" w:hAnsi="Arial" w:cs="Arial"/>
          <w:b/>
          <w:spacing w:val="9"/>
          <w:w w:val="105"/>
          <w:sz w:val="24"/>
          <w:szCs w:val="28"/>
        </w:rPr>
        <w:t xml:space="preserve"> August </w:t>
      </w:r>
      <w:r w:rsidR="004051D5">
        <w:rPr>
          <w:rFonts w:ascii="Arial" w:hAnsi="Arial" w:cs="Arial"/>
          <w:b/>
          <w:w w:val="105"/>
          <w:sz w:val="24"/>
          <w:szCs w:val="28"/>
        </w:rPr>
        <w:t>2023</w:t>
      </w:r>
    </w:p>
    <w:p w14:paraId="10DE900B" w14:textId="73EB0839" w:rsidR="00DA35E1" w:rsidRDefault="00C57456" w:rsidP="00B322C2">
      <w:pPr>
        <w:spacing w:before="28"/>
        <w:ind w:left="603"/>
        <w:jc w:val="center"/>
        <w:rPr>
          <w:rFonts w:ascii="Arial" w:hAnsi="Arial" w:cs="Arial"/>
          <w:b/>
          <w:sz w:val="24"/>
          <w:szCs w:val="28"/>
        </w:rPr>
      </w:pPr>
      <w:r w:rsidRPr="00B46963">
        <w:rPr>
          <w:rFonts w:ascii="Arial" w:hAnsi="Arial" w:cs="Arial"/>
          <w:b/>
          <w:w w:val="105"/>
          <w:sz w:val="24"/>
          <w:szCs w:val="28"/>
        </w:rPr>
        <w:t>(2018=100)</w:t>
      </w:r>
    </w:p>
    <w:p w14:paraId="1AA77AEE" w14:textId="77777777" w:rsidR="00B322C2" w:rsidRPr="00C207ED" w:rsidRDefault="00B322C2" w:rsidP="00B322C2">
      <w:pPr>
        <w:spacing w:before="28"/>
        <w:ind w:left="603"/>
        <w:jc w:val="center"/>
        <w:rPr>
          <w:rFonts w:ascii="Arial" w:hAnsi="Arial" w:cs="Arial"/>
          <w:b/>
          <w:sz w:val="2"/>
          <w:szCs w:val="28"/>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4"/>
        <w:gridCol w:w="1440"/>
        <w:gridCol w:w="1440"/>
        <w:gridCol w:w="1441"/>
        <w:gridCol w:w="1448"/>
        <w:gridCol w:w="1442"/>
      </w:tblGrid>
      <w:tr w:rsidR="00DA35E1" w14:paraId="777BAB4A" w14:textId="59BB84F0" w:rsidTr="00C207ED">
        <w:trPr>
          <w:trHeight w:val="347"/>
          <w:jc w:val="center"/>
        </w:trPr>
        <w:tc>
          <w:tcPr>
            <w:tcW w:w="1724" w:type="dxa"/>
            <w:vMerge w:val="restart"/>
            <w:shd w:val="clear" w:color="auto" w:fill="385623" w:themeFill="accent6" w:themeFillShade="80"/>
          </w:tcPr>
          <w:p w14:paraId="7ACB3964" w14:textId="77777777" w:rsidR="00DA35E1" w:rsidRPr="00506650" w:rsidRDefault="00DA35E1" w:rsidP="00503D82">
            <w:pPr>
              <w:pStyle w:val="TableParagraph"/>
              <w:spacing w:before="1"/>
              <w:ind w:left="0"/>
              <w:jc w:val="center"/>
              <w:rPr>
                <w:rFonts w:ascii="Arial"/>
                <w:b/>
              </w:rPr>
            </w:pPr>
          </w:p>
          <w:p w14:paraId="6165AB9C" w14:textId="77777777" w:rsidR="00DA35E1" w:rsidRPr="00506650" w:rsidRDefault="00DA35E1" w:rsidP="00DA35E1">
            <w:pPr>
              <w:pStyle w:val="TableParagraph"/>
              <w:tabs>
                <w:tab w:val="left" w:pos="1126"/>
              </w:tabs>
              <w:spacing w:before="0"/>
              <w:ind w:left="791" w:right="569" w:hanging="507"/>
              <w:jc w:val="center"/>
              <w:rPr>
                <w:rFonts w:ascii="Arial"/>
                <w:b/>
              </w:rPr>
            </w:pPr>
            <w:r w:rsidRPr="00506650">
              <w:rPr>
                <w:rFonts w:ascii="Arial"/>
                <w:b/>
                <w:color w:val="FFFFFF"/>
                <w:spacing w:val="11"/>
              </w:rPr>
              <w:t>Month</w:t>
            </w:r>
          </w:p>
        </w:tc>
        <w:tc>
          <w:tcPr>
            <w:tcW w:w="7211" w:type="dxa"/>
            <w:gridSpan w:val="5"/>
            <w:shd w:val="clear" w:color="auto" w:fill="385623" w:themeFill="accent6" w:themeFillShade="80"/>
            <w:vAlign w:val="center"/>
          </w:tcPr>
          <w:p w14:paraId="09E7D2F8" w14:textId="22A424C7" w:rsidR="00DA35E1" w:rsidRPr="00506650" w:rsidRDefault="00DA35E1" w:rsidP="00B540CE">
            <w:pPr>
              <w:pStyle w:val="TableParagraph"/>
              <w:spacing w:before="0"/>
              <w:ind w:left="0"/>
              <w:jc w:val="center"/>
              <w:rPr>
                <w:rFonts w:ascii="Arial" w:hAnsi="Arial" w:cs="Arial"/>
                <w:b/>
                <w:bCs/>
                <w:color w:val="FFFFFF" w:themeColor="background1"/>
              </w:rPr>
            </w:pPr>
            <w:r w:rsidRPr="00506650">
              <w:rPr>
                <w:rFonts w:ascii="Arial" w:hAnsi="Arial" w:cs="Arial"/>
                <w:b/>
                <w:bCs/>
                <w:color w:val="FFFFFF" w:themeColor="background1"/>
              </w:rPr>
              <w:t>Year</w:t>
            </w:r>
          </w:p>
        </w:tc>
      </w:tr>
      <w:tr w:rsidR="00DA35E1" w14:paraId="2F08184C" w14:textId="1D95172A" w:rsidTr="00CD5B52">
        <w:trPr>
          <w:trHeight w:val="252"/>
          <w:jc w:val="center"/>
        </w:trPr>
        <w:tc>
          <w:tcPr>
            <w:tcW w:w="1724" w:type="dxa"/>
            <w:vMerge/>
            <w:shd w:val="clear" w:color="auto" w:fill="385623" w:themeFill="accent6" w:themeFillShade="80"/>
            <w:hideMark/>
          </w:tcPr>
          <w:p w14:paraId="5E67333C" w14:textId="77777777" w:rsidR="00DA35E1" w:rsidRPr="00506650" w:rsidRDefault="00DA35E1" w:rsidP="00503D82">
            <w:pPr>
              <w:jc w:val="center"/>
              <w:rPr>
                <w:rFonts w:ascii="Arial"/>
                <w:b/>
              </w:rPr>
            </w:pPr>
          </w:p>
        </w:tc>
        <w:tc>
          <w:tcPr>
            <w:tcW w:w="1440" w:type="dxa"/>
            <w:shd w:val="clear" w:color="auto" w:fill="385623" w:themeFill="accent6" w:themeFillShade="80"/>
            <w:vAlign w:val="center"/>
            <w:hideMark/>
          </w:tcPr>
          <w:p w14:paraId="382580A7" w14:textId="70B8EF67" w:rsidR="00DA35E1" w:rsidRPr="00DA35E1" w:rsidRDefault="00DA35E1" w:rsidP="00DA35E1">
            <w:pPr>
              <w:jc w:val="center"/>
              <w:rPr>
                <w:rFonts w:ascii="Arial" w:hAnsi="Arial" w:cs="Arial"/>
                <w:b/>
                <w:color w:val="FFFFFF" w:themeColor="background1"/>
              </w:rPr>
            </w:pPr>
            <w:r w:rsidRPr="00DA35E1">
              <w:rPr>
                <w:rFonts w:ascii="Arial" w:hAnsi="Arial" w:cs="Arial"/>
                <w:b/>
                <w:color w:val="FFFFFF" w:themeColor="background1"/>
                <w:w w:val="110"/>
              </w:rPr>
              <w:t>2019</w:t>
            </w:r>
          </w:p>
        </w:tc>
        <w:tc>
          <w:tcPr>
            <w:tcW w:w="1440" w:type="dxa"/>
            <w:shd w:val="clear" w:color="auto" w:fill="385623" w:themeFill="accent6" w:themeFillShade="80"/>
            <w:vAlign w:val="center"/>
            <w:hideMark/>
          </w:tcPr>
          <w:p w14:paraId="11C56A2D" w14:textId="01C541E0" w:rsidR="00DA35E1" w:rsidRPr="00DA35E1" w:rsidRDefault="00DA35E1" w:rsidP="00DA35E1">
            <w:pPr>
              <w:jc w:val="center"/>
              <w:rPr>
                <w:rFonts w:ascii="Arial" w:hAnsi="Arial" w:cs="Arial"/>
                <w:b/>
                <w:color w:val="FFFFFF" w:themeColor="background1"/>
              </w:rPr>
            </w:pPr>
            <w:r w:rsidRPr="00DA35E1">
              <w:rPr>
                <w:rFonts w:ascii="Arial" w:hAnsi="Arial" w:cs="Arial"/>
                <w:b/>
                <w:color w:val="FFFFFF" w:themeColor="background1"/>
                <w:w w:val="110"/>
              </w:rPr>
              <w:t>2020</w:t>
            </w:r>
          </w:p>
        </w:tc>
        <w:tc>
          <w:tcPr>
            <w:tcW w:w="1441" w:type="dxa"/>
            <w:shd w:val="clear" w:color="auto" w:fill="385623" w:themeFill="accent6" w:themeFillShade="80"/>
            <w:vAlign w:val="center"/>
            <w:hideMark/>
          </w:tcPr>
          <w:p w14:paraId="5D86FC37" w14:textId="077CE0CE" w:rsidR="00DA35E1" w:rsidRPr="00DA35E1" w:rsidRDefault="00DA35E1" w:rsidP="00DA35E1">
            <w:pPr>
              <w:jc w:val="center"/>
              <w:rPr>
                <w:rFonts w:ascii="Arial" w:hAnsi="Arial" w:cs="Arial"/>
                <w:b/>
                <w:color w:val="FFFFFF" w:themeColor="background1"/>
              </w:rPr>
            </w:pPr>
            <w:r w:rsidRPr="00DA35E1">
              <w:rPr>
                <w:rFonts w:ascii="Arial" w:hAnsi="Arial" w:cs="Arial"/>
                <w:b/>
                <w:color w:val="FFFFFF" w:themeColor="background1"/>
                <w:w w:val="110"/>
              </w:rPr>
              <w:t>2021</w:t>
            </w:r>
          </w:p>
        </w:tc>
        <w:tc>
          <w:tcPr>
            <w:tcW w:w="1445" w:type="dxa"/>
            <w:shd w:val="clear" w:color="auto" w:fill="385623" w:themeFill="accent6" w:themeFillShade="80"/>
            <w:vAlign w:val="center"/>
            <w:hideMark/>
          </w:tcPr>
          <w:p w14:paraId="1E86A8D8" w14:textId="0E10FA1A" w:rsidR="00DA35E1" w:rsidRPr="00506650" w:rsidRDefault="00DA35E1" w:rsidP="00DA35E1">
            <w:pPr>
              <w:jc w:val="center"/>
              <w:rPr>
                <w:rFonts w:ascii="Arial" w:hAnsi="Arial" w:cs="Arial"/>
                <w:b/>
                <w:bCs/>
              </w:rPr>
            </w:pPr>
            <w:r w:rsidRPr="00506650">
              <w:rPr>
                <w:rFonts w:ascii="Arial" w:hAnsi="Arial" w:cs="Arial"/>
                <w:b/>
                <w:bCs/>
                <w:color w:val="FFFFFF" w:themeColor="background1"/>
                <w:w w:val="110"/>
              </w:rPr>
              <w:t>2022</w:t>
            </w:r>
          </w:p>
        </w:tc>
        <w:tc>
          <w:tcPr>
            <w:tcW w:w="1442" w:type="dxa"/>
            <w:shd w:val="clear" w:color="auto" w:fill="385623" w:themeFill="accent6" w:themeFillShade="80"/>
            <w:vAlign w:val="center"/>
          </w:tcPr>
          <w:p w14:paraId="7BA65A08" w14:textId="6B0B4DA7" w:rsidR="00DA35E1" w:rsidRPr="00506650" w:rsidRDefault="00DA35E1" w:rsidP="00DA35E1">
            <w:pPr>
              <w:jc w:val="center"/>
              <w:rPr>
                <w:rFonts w:ascii="Arial" w:hAnsi="Arial" w:cs="Arial"/>
                <w:b/>
                <w:bCs/>
                <w:color w:val="FFFFFF" w:themeColor="background1"/>
                <w:w w:val="110"/>
              </w:rPr>
            </w:pPr>
            <w:r>
              <w:rPr>
                <w:rFonts w:ascii="Arial" w:hAnsi="Arial" w:cs="Arial"/>
                <w:b/>
                <w:bCs/>
                <w:color w:val="FFFFFF" w:themeColor="background1"/>
                <w:w w:val="110"/>
              </w:rPr>
              <w:t>2023</w:t>
            </w:r>
          </w:p>
        </w:tc>
      </w:tr>
      <w:tr w:rsidR="00DA35E1" w14:paraId="17A3AD7C" w14:textId="37D8D274" w:rsidTr="00CD5B52">
        <w:trPr>
          <w:trHeight w:val="446"/>
          <w:jc w:val="center"/>
        </w:trPr>
        <w:tc>
          <w:tcPr>
            <w:tcW w:w="1724" w:type="dxa"/>
            <w:vAlign w:val="center"/>
            <w:hideMark/>
          </w:tcPr>
          <w:p w14:paraId="6498ED6E" w14:textId="77777777" w:rsidR="00DA35E1" w:rsidRPr="00506650" w:rsidRDefault="00DA35E1" w:rsidP="00DA35E1">
            <w:pPr>
              <w:pStyle w:val="TableParagraph"/>
              <w:spacing w:before="38"/>
              <w:ind w:left="271"/>
            </w:pPr>
            <w:r w:rsidRPr="00506650">
              <w:t>January</w:t>
            </w:r>
          </w:p>
        </w:tc>
        <w:tc>
          <w:tcPr>
            <w:tcW w:w="1440" w:type="dxa"/>
            <w:vAlign w:val="center"/>
            <w:hideMark/>
          </w:tcPr>
          <w:p w14:paraId="59D97C49" w14:textId="755F73EC" w:rsidR="00DA35E1" w:rsidRPr="00506650" w:rsidRDefault="00DA35E1" w:rsidP="009C1137">
            <w:pPr>
              <w:pStyle w:val="TableParagraph"/>
              <w:spacing w:before="38"/>
              <w:ind w:right="456" w:hanging="171"/>
              <w:jc w:val="center"/>
            </w:pPr>
            <w:r w:rsidRPr="00506650">
              <w:t>4.9</w:t>
            </w:r>
          </w:p>
        </w:tc>
        <w:tc>
          <w:tcPr>
            <w:tcW w:w="1440" w:type="dxa"/>
            <w:vAlign w:val="center"/>
            <w:hideMark/>
          </w:tcPr>
          <w:p w14:paraId="0781E8DF" w14:textId="12BA075B" w:rsidR="00DA35E1" w:rsidRPr="00506650" w:rsidRDefault="00DA35E1" w:rsidP="009C1137">
            <w:pPr>
              <w:pStyle w:val="TableParagraph"/>
              <w:spacing w:before="38"/>
              <w:ind w:right="425" w:hanging="179"/>
              <w:jc w:val="center"/>
            </w:pPr>
            <w:r w:rsidRPr="00506650">
              <w:t>2.5</w:t>
            </w:r>
          </w:p>
        </w:tc>
        <w:tc>
          <w:tcPr>
            <w:tcW w:w="1441" w:type="dxa"/>
            <w:vAlign w:val="center"/>
            <w:hideMark/>
          </w:tcPr>
          <w:p w14:paraId="1DCF5927" w14:textId="23041BAC" w:rsidR="00DA35E1" w:rsidRPr="00506650" w:rsidRDefault="00DA35E1" w:rsidP="009C1137">
            <w:pPr>
              <w:pStyle w:val="TableParagraph"/>
              <w:spacing w:before="38"/>
              <w:ind w:right="426" w:hanging="171"/>
              <w:jc w:val="center"/>
            </w:pPr>
            <w:r w:rsidRPr="00506650">
              <w:t>1.0</w:t>
            </w:r>
          </w:p>
        </w:tc>
        <w:tc>
          <w:tcPr>
            <w:tcW w:w="1445" w:type="dxa"/>
            <w:vAlign w:val="center"/>
            <w:hideMark/>
          </w:tcPr>
          <w:p w14:paraId="369BF21A" w14:textId="69812A48" w:rsidR="00DA35E1" w:rsidRPr="00506650" w:rsidRDefault="00DA35E1" w:rsidP="009C1137">
            <w:pPr>
              <w:pStyle w:val="TableParagraph"/>
              <w:spacing w:before="38"/>
              <w:ind w:right="419" w:hanging="179"/>
              <w:jc w:val="center"/>
            </w:pPr>
            <w:r w:rsidRPr="00506650">
              <w:t>5.5</w:t>
            </w:r>
          </w:p>
        </w:tc>
        <w:tc>
          <w:tcPr>
            <w:tcW w:w="1442" w:type="dxa"/>
            <w:vAlign w:val="center"/>
          </w:tcPr>
          <w:p w14:paraId="140E7533" w14:textId="4CB7083F" w:rsidR="00DA35E1" w:rsidRPr="00506650" w:rsidRDefault="00BF7143" w:rsidP="009C1137">
            <w:pPr>
              <w:pStyle w:val="TableParagraph"/>
              <w:spacing w:before="38"/>
              <w:ind w:right="376" w:hanging="246"/>
              <w:jc w:val="center"/>
            </w:pPr>
            <w:r>
              <w:t>9.9</w:t>
            </w:r>
          </w:p>
        </w:tc>
      </w:tr>
      <w:tr w:rsidR="00DA35E1" w14:paraId="031D393B" w14:textId="09B2DCD4" w:rsidTr="00CD5B52">
        <w:trPr>
          <w:trHeight w:val="450"/>
          <w:jc w:val="center"/>
        </w:trPr>
        <w:tc>
          <w:tcPr>
            <w:tcW w:w="1724" w:type="dxa"/>
            <w:shd w:val="clear" w:color="auto" w:fill="C5E0B3" w:themeFill="accent6" w:themeFillTint="66"/>
            <w:vAlign w:val="center"/>
            <w:hideMark/>
          </w:tcPr>
          <w:p w14:paraId="7D431FF2" w14:textId="77777777" w:rsidR="00DA35E1" w:rsidRPr="00506650" w:rsidRDefault="00DA35E1" w:rsidP="00DA35E1">
            <w:pPr>
              <w:pStyle w:val="TableParagraph"/>
              <w:ind w:left="271"/>
            </w:pPr>
            <w:r w:rsidRPr="00506650">
              <w:t>February</w:t>
            </w:r>
          </w:p>
        </w:tc>
        <w:tc>
          <w:tcPr>
            <w:tcW w:w="1440" w:type="dxa"/>
            <w:shd w:val="clear" w:color="auto" w:fill="C5E0B3" w:themeFill="accent6" w:themeFillTint="66"/>
            <w:vAlign w:val="center"/>
            <w:hideMark/>
          </w:tcPr>
          <w:p w14:paraId="132D8612" w14:textId="5D9C853F" w:rsidR="00DA35E1" w:rsidRPr="00506650" w:rsidRDefault="00DA35E1" w:rsidP="009C1137">
            <w:pPr>
              <w:pStyle w:val="TableParagraph"/>
              <w:ind w:right="456" w:hanging="171"/>
              <w:jc w:val="center"/>
            </w:pPr>
            <w:r w:rsidRPr="00506650">
              <w:t>5.2</w:t>
            </w:r>
          </w:p>
        </w:tc>
        <w:tc>
          <w:tcPr>
            <w:tcW w:w="1440" w:type="dxa"/>
            <w:shd w:val="clear" w:color="auto" w:fill="C5E0B3" w:themeFill="accent6" w:themeFillTint="66"/>
            <w:vAlign w:val="center"/>
            <w:hideMark/>
          </w:tcPr>
          <w:p w14:paraId="547D1D74" w14:textId="0DF65658" w:rsidR="00DA35E1" w:rsidRPr="00506650" w:rsidRDefault="00DA35E1" w:rsidP="009C1137">
            <w:pPr>
              <w:pStyle w:val="TableParagraph"/>
              <w:ind w:right="425" w:hanging="179"/>
              <w:jc w:val="center"/>
            </w:pPr>
            <w:r w:rsidRPr="00506650">
              <w:t>2.7</w:t>
            </w:r>
          </w:p>
        </w:tc>
        <w:tc>
          <w:tcPr>
            <w:tcW w:w="1441" w:type="dxa"/>
            <w:shd w:val="clear" w:color="auto" w:fill="C5E0B3" w:themeFill="accent6" w:themeFillTint="66"/>
            <w:vAlign w:val="center"/>
            <w:hideMark/>
          </w:tcPr>
          <w:p w14:paraId="5EDFDED4" w14:textId="4A2D17EE" w:rsidR="00DA35E1" w:rsidRPr="00506650" w:rsidRDefault="00DA35E1" w:rsidP="009C1137">
            <w:pPr>
              <w:pStyle w:val="TableParagraph"/>
              <w:ind w:right="426" w:hanging="171"/>
              <w:jc w:val="center"/>
            </w:pPr>
            <w:r w:rsidRPr="00506650">
              <w:t>1.8</w:t>
            </w:r>
          </w:p>
        </w:tc>
        <w:tc>
          <w:tcPr>
            <w:tcW w:w="1445" w:type="dxa"/>
            <w:shd w:val="clear" w:color="auto" w:fill="C5E0B3" w:themeFill="accent6" w:themeFillTint="66"/>
            <w:vAlign w:val="center"/>
            <w:hideMark/>
          </w:tcPr>
          <w:p w14:paraId="4D74563D" w14:textId="01F644CE" w:rsidR="00DA35E1" w:rsidRPr="00506650" w:rsidRDefault="00DA35E1" w:rsidP="009C1137">
            <w:pPr>
              <w:pStyle w:val="TableParagraph"/>
              <w:ind w:right="419" w:hanging="179"/>
              <w:jc w:val="center"/>
            </w:pPr>
            <w:r w:rsidRPr="00506650">
              <w:t>5.3</w:t>
            </w:r>
          </w:p>
        </w:tc>
        <w:tc>
          <w:tcPr>
            <w:tcW w:w="1442" w:type="dxa"/>
            <w:shd w:val="clear" w:color="auto" w:fill="C5E0B3" w:themeFill="accent6" w:themeFillTint="66"/>
            <w:vAlign w:val="center"/>
          </w:tcPr>
          <w:p w14:paraId="2DCE6671" w14:textId="40B7E9A9" w:rsidR="00DA35E1" w:rsidRPr="00506650" w:rsidRDefault="00BF7143" w:rsidP="009C1137">
            <w:pPr>
              <w:pStyle w:val="TableParagraph"/>
              <w:ind w:right="479" w:hanging="108"/>
              <w:jc w:val="center"/>
            </w:pPr>
            <w:r>
              <w:t>9.4</w:t>
            </w:r>
          </w:p>
        </w:tc>
      </w:tr>
      <w:tr w:rsidR="00DA35E1" w14:paraId="10F24CC8" w14:textId="623CC415" w:rsidTr="00CD5B52">
        <w:trPr>
          <w:trHeight w:val="450"/>
          <w:jc w:val="center"/>
        </w:trPr>
        <w:tc>
          <w:tcPr>
            <w:tcW w:w="1724" w:type="dxa"/>
            <w:vAlign w:val="center"/>
            <w:hideMark/>
          </w:tcPr>
          <w:p w14:paraId="13294276" w14:textId="77777777" w:rsidR="00DA35E1" w:rsidRPr="00506650" w:rsidRDefault="00DA35E1" w:rsidP="00DA35E1">
            <w:pPr>
              <w:pStyle w:val="TableParagraph"/>
              <w:ind w:left="271"/>
            </w:pPr>
            <w:r w:rsidRPr="00506650">
              <w:t>March</w:t>
            </w:r>
          </w:p>
        </w:tc>
        <w:tc>
          <w:tcPr>
            <w:tcW w:w="1440" w:type="dxa"/>
            <w:vAlign w:val="center"/>
            <w:hideMark/>
          </w:tcPr>
          <w:p w14:paraId="30E75AEC" w14:textId="5F1165E3" w:rsidR="00DA35E1" w:rsidRPr="00506650" w:rsidRDefault="00DA35E1" w:rsidP="009C1137">
            <w:pPr>
              <w:pStyle w:val="TableParagraph"/>
              <w:ind w:right="456" w:hanging="171"/>
              <w:jc w:val="center"/>
            </w:pPr>
            <w:r w:rsidRPr="00506650">
              <w:t>5.4</w:t>
            </w:r>
          </w:p>
        </w:tc>
        <w:tc>
          <w:tcPr>
            <w:tcW w:w="1440" w:type="dxa"/>
            <w:vAlign w:val="center"/>
            <w:hideMark/>
          </w:tcPr>
          <w:p w14:paraId="3697E71A" w14:textId="475234C0" w:rsidR="00DA35E1" w:rsidRPr="00506650" w:rsidRDefault="00DA35E1" w:rsidP="009C1137">
            <w:pPr>
              <w:pStyle w:val="TableParagraph"/>
              <w:ind w:right="425" w:hanging="179"/>
              <w:jc w:val="center"/>
            </w:pPr>
            <w:r w:rsidRPr="00506650">
              <w:t>2.1</w:t>
            </w:r>
          </w:p>
        </w:tc>
        <w:tc>
          <w:tcPr>
            <w:tcW w:w="1441" w:type="dxa"/>
            <w:vAlign w:val="center"/>
            <w:hideMark/>
          </w:tcPr>
          <w:p w14:paraId="7C89A257" w14:textId="217D9888" w:rsidR="00DA35E1" w:rsidRPr="00506650" w:rsidRDefault="00DA35E1" w:rsidP="009C1137">
            <w:pPr>
              <w:pStyle w:val="TableParagraph"/>
              <w:ind w:right="426" w:hanging="171"/>
              <w:jc w:val="center"/>
            </w:pPr>
            <w:r w:rsidRPr="00506650">
              <w:t>3.0</w:t>
            </w:r>
          </w:p>
        </w:tc>
        <w:tc>
          <w:tcPr>
            <w:tcW w:w="1445" w:type="dxa"/>
            <w:vAlign w:val="center"/>
            <w:hideMark/>
          </w:tcPr>
          <w:p w14:paraId="4725D1E6" w14:textId="0A5023E9" w:rsidR="00DA35E1" w:rsidRPr="00506650" w:rsidRDefault="00DA35E1" w:rsidP="009C1137">
            <w:pPr>
              <w:pStyle w:val="TableParagraph"/>
              <w:ind w:right="419" w:hanging="179"/>
              <w:jc w:val="center"/>
            </w:pPr>
            <w:r w:rsidRPr="00506650">
              <w:t>5.8</w:t>
            </w:r>
          </w:p>
        </w:tc>
        <w:tc>
          <w:tcPr>
            <w:tcW w:w="1442" w:type="dxa"/>
            <w:vAlign w:val="center"/>
          </w:tcPr>
          <w:p w14:paraId="503B3AF6" w14:textId="3CA59417" w:rsidR="00DA35E1" w:rsidRPr="00506650" w:rsidRDefault="00661DD3" w:rsidP="00661DD3">
            <w:pPr>
              <w:pStyle w:val="TableParagraph"/>
              <w:tabs>
                <w:tab w:val="left" w:pos="223"/>
                <w:tab w:val="left" w:pos="375"/>
              </w:tabs>
              <w:ind w:left="0"/>
              <w:jc w:val="center"/>
            </w:pPr>
            <w:r>
              <w:t>7.2</w:t>
            </w:r>
          </w:p>
        </w:tc>
      </w:tr>
      <w:tr w:rsidR="00DA35E1" w14:paraId="5C364DC3" w14:textId="0B51C756" w:rsidTr="00CD5B52">
        <w:trPr>
          <w:trHeight w:val="450"/>
          <w:jc w:val="center"/>
        </w:trPr>
        <w:tc>
          <w:tcPr>
            <w:tcW w:w="1724" w:type="dxa"/>
            <w:shd w:val="clear" w:color="auto" w:fill="C5E0B3" w:themeFill="accent6" w:themeFillTint="66"/>
            <w:vAlign w:val="center"/>
            <w:hideMark/>
          </w:tcPr>
          <w:p w14:paraId="3A786189" w14:textId="77777777" w:rsidR="00DA35E1" w:rsidRPr="00506650" w:rsidRDefault="00DA35E1" w:rsidP="00DA35E1">
            <w:pPr>
              <w:pStyle w:val="TableParagraph"/>
              <w:ind w:left="271"/>
            </w:pPr>
            <w:r w:rsidRPr="00506650">
              <w:t>April</w:t>
            </w:r>
          </w:p>
        </w:tc>
        <w:tc>
          <w:tcPr>
            <w:tcW w:w="1440" w:type="dxa"/>
            <w:shd w:val="clear" w:color="auto" w:fill="C5E0B3" w:themeFill="accent6" w:themeFillTint="66"/>
            <w:vAlign w:val="center"/>
            <w:hideMark/>
          </w:tcPr>
          <w:p w14:paraId="3742862F" w14:textId="4E946E07" w:rsidR="00DA35E1" w:rsidRPr="00506650" w:rsidRDefault="00DA35E1" w:rsidP="009C1137">
            <w:pPr>
              <w:pStyle w:val="TableParagraph"/>
              <w:ind w:right="456" w:hanging="171"/>
              <w:jc w:val="center"/>
            </w:pPr>
            <w:r w:rsidRPr="00506650">
              <w:t>4.9</w:t>
            </w:r>
          </w:p>
        </w:tc>
        <w:tc>
          <w:tcPr>
            <w:tcW w:w="1440" w:type="dxa"/>
            <w:shd w:val="clear" w:color="auto" w:fill="C5E0B3" w:themeFill="accent6" w:themeFillTint="66"/>
            <w:vAlign w:val="center"/>
            <w:hideMark/>
          </w:tcPr>
          <w:p w14:paraId="0E228282" w14:textId="5AAA5AA6" w:rsidR="00DA35E1" w:rsidRPr="00506650" w:rsidRDefault="00DA35E1" w:rsidP="009C1137">
            <w:pPr>
              <w:pStyle w:val="TableParagraph"/>
              <w:ind w:right="425" w:hanging="179"/>
              <w:jc w:val="center"/>
            </w:pPr>
            <w:r w:rsidRPr="00506650">
              <w:t>1.7</w:t>
            </w:r>
          </w:p>
        </w:tc>
        <w:tc>
          <w:tcPr>
            <w:tcW w:w="1441" w:type="dxa"/>
            <w:shd w:val="clear" w:color="auto" w:fill="C5E0B3" w:themeFill="accent6" w:themeFillTint="66"/>
            <w:vAlign w:val="center"/>
            <w:hideMark/>
          </w:tcPr>
          <w:p w14:paraId="5CF56900" w14:textId="2E9236B7" w:rsidR="00DA35E1" w:rsidRPr="00506650" w:rsidRDefault="00DA35E1" w:rsidP="009C1137">
            <w:pPr>
              <w:pStyle w:val="TableParagraph"/>
              <w:ind w:right="426" w:hanging="171"/>
              <w:jc w:val="center"/>
            </w:pPr>
            <w:r w:rsidRPr="00506650">
              <w:t>3.5</w:t>
            </w:r>
          </w:p>
        </w:tc>
        <w:tc>
          <w:tcPr>
            <w:tcW w:w="1445" w:type="dxa"/>
            <w:shd w:val="clear" w:color="auto" w:fill="C5E0B3" w:themeFill="accent6" w:themeFillTint="66"/>
            <w:vAlign w:val="center"/>
            <w:hideMark/>
          </w:tcPr>
          <w:p w14:paraId="4DCA128B" w14:textId="6C5DBA63" w:rsidR="00DA35E1" w:rsidRPr="00506650" w:rsidRDefault="00DA35E1" w:rsidP="009C1137">
            <w:pPr>
              <w:pStyle w:val="TableParagraph"/>
              <w:ind w:right="419" w:hanging="179"/>
              <w:jc w:val="center"/>
            </w:pPr>
            <w:r w:rsidRPr="00506650">
              <w:t>5.2</w:t>
            </w:r>
          </w:p>
        </w:tc>
        <w:tc>
          <w:tcPr>
            <w:tcW w:w="1442" w:type="dxa"/>
            <w:shd w:val="clear" w:color="auto" w:fill="C5E0B3" w:themeFill="accent6" w:themeFillTint="66"/>
            <w:vAlign w:val="center"/>
          </w:tcPr>
          <w:p w14:paraId="5B58EB28" w14:textId="704E9DE5" w:rsidR="00DA35E1" w:rsidRPr="00506650" w:rsidRDefault="005A77A4" w:rsidP="005A77A4">
            <w:pPr>
              <w:pStyle w:val="TableParagraph"/>
              <w:ind w:right="467" w:hanging="103"/>
              <w:jc w:val="center"/>
            </w:pPr>
            <w:r>
              <w:t>6.4</w:t>
            </w:r>
          </w:p>
        </w:tc>
      </w:tr>
      <w:tr w:rsidR="00DA35E1" w14:paraId="08C114D3" w14:textId="7D425138" w:rsidTr="00CD5B52">
        <w:trPr>
          <w:trHeight w:val="450"/>
          <w:jc w:val="center"/>
        </w:trPr>
        <w:tc>
          <w:tcPr>
            <w:tcW w:w="1724" w:type="dxa"/>
            <w:vAlign w:val="center"/>
            <w:hideMark/>
          </w:tcPr>
          <w:p w14:paraId="2A5227EE" w14:textId="77777777" w:rsidR="00DA35E1" w:rsidRPr="00506650" w:rsidRDefault="00DA35E1" w:rsidP="00DA35E1">
            <w:pPr>
              <w:pStyle w:val="TableParagraph"/>
              <w:ind w:left="271"/>
            </w:pPr>
            <w:r w:rsidRPr="00506650">
              <w:t>May</w:t>
            </w:r>
          </w:p>
        </w:tc>
        <w:tc>
          <w:tcPr>
            <w:tcW w:w="1440" w:type="dxa"/>
            <w:vAlign w:val="center"/>
            <w:hideMark/>
          </w:tcPr>
          <w:p w14:paraId="2CD29321" w14:textId="3C6A9642" w:rsidR="00DA35E1" w:rsidRPr="00506650" w:rsidRDefault="00DA35E1" w:rsidP="009C1137">
            <w:pPr>
              <w:pStyle w:val="TableParagraph"/>
              <w:ind w:right="456" w:hanging="171"/>
              <w:jc w:val="center"/>
            </w:pPr>
            <w:r w:rsidRPr="00506650">
              <w:t>4.0</w:t>
            </w:r>
          </w:p>
        </w:tc>
        <w:tc>
          <w:tcPr>
            <w:tcW w:w="1440" w:type="dxa"/>
            <w:vAlign w:val="center"/>
            <w:hideMark/>
          </w:tcPr>
          <w:p w14:paraId="25631F46" w14:textId="5E26C45F" w:rsidR="00DA35E1" w:rsidRPr="00506650" w:rsidRDefault="00DA35E1" w:rsidP="009C1137">
            <w:pPr>
              <w:pStyle w:val="TableParagraph"/>
              <w:ind w:right="425" w:hanging="179"/>
              <w:jc w:val="center"/>
            </w:pPr>
            <w:r w:rsidRPr="00506650">
              <w:t>1.9</w:t>
            </w:r>
          </w:p>
        </w:tc>
        <w:tc>
          <w:tcPr>
            <w:tcW w:w="1441" w:type="dxa"/>
            <w:vAlign w:val="center"/>
            <w:hideMark/>
          </w:tcPr>
          <w:p w14:paraId="66B38271" w14:textId="415624FD" w:rsidR="00DA35E1" w:rsidRPr="00506650" w:rsidRDefault="00DA35E1" w:rsidP="009C1137">
            <w:pPr>
              <w:pStyle w:val="TableParagraph"/>
              <w:ind w:right="426" w:hanging="171"/>
              <w:jc w:val="center"/>
            </w:pPr>
            <w:r w:rsidRPr="00506650">
              <w:t>3.7</w:t>
            </w:r>
          </w:p>
        </w:tc>
        <w:tc>
          <w:tcPr>
            <w:tcW w:w="1445" w:type="dxa"/>
            <w:vAlign w:val="center"/>
          </w:tcPr>
          <w:p w14:paraId="0FA003DE" w14:textId="7E6340E5" w:rsidR="00DA35E1" w:rsidRPr="00051197" w:rsidRDefault="00DA35E1" w:rsidP="009C1137">
            <w:pPr>
              <w:jc w:val="center"/>
            </w:pPr>
            <w:r w:rsidRPr="00051197">
              <w:t>6.8</w:t>
            </w:r>
          </w:p>
        </w:tc>
        <w:tc>
          <w:tcPr>
            <w:tcW w:w="1442" w:type="dxa"/>
            <w:vAlign w:val="center"/>
          </w:tcPr>
          <w:p w14:paraId="7432BC90" w14:textId="090BB971" w:rsidR="00DA35E1" w:rsidRPr="00051197" w:rsidRDefault="005A494C" w:rsidP="009C1137">
            <w:pPr>
              <w:pStyle w:val="TableParagraph"/>
              <w:spacing w:before="0"/>
              <w:ind w:left="0"/>
              <w:jc w:val="center"/>
            </w:pPr>
            <w:r>
              <w:t>5.0</w:t>
            </w:r>
          </w:p>
        </w:tc>
      </w:tr>
      <w:tr w:rsidR="00DA35E1" w14:paraId="4C0CDE50" w14:textId="5978DDD1" w:rsidTr="00CD5B52">
        <w:trPr>
          <w:trHeight w:val="450"/>
          <w:jc w:val="center"/>
        </w:trPr>
        <w:tc>
          <w:tcPr>
            <w:tcW w:w="1724" w:type="dxa"/>
            <w:shd w:val="clear" w:color="auto" w:fill="C5E0B3" w:themeFill="accent6" w:themeFillTint="66"/>
            <w:vAlign w:val="center"/>
            <w:hideMark/>
          </w:tcPr>
          <w:p w14:paraId="72488677" w14:textId="77777777" w:rsidR="00DA35E1" w:rsidRPr="00506650" w:rsidRDefault="00DA35E1" w:rsidP="00DA35E1">
            <w:pPr>
              <w:pStyle w:val="TableParagraph"/>
              <w:ind w:left="271"/>
            </w:pPr>
            <w:r w:rsidRPr="00506650">
              <w:t>June</w:t>
            </w:r>
          </w:p>
        </w:tc>
        <w:tc>
          <w:tcPr>
            <w:tcW w:w="1440" w:type="dxa"/>
            <w:shd w:val="clear" w:color="auto" w:fill="C5E0B3" w:themeFill="accent6" w:themeFillTint="66"/>
            <w:vAlign w:val="center"/>
            <w:hideMark/>
          </w:tcPr>
          <w:p w14:paraId="635B7CB0" w14:textId="44169134" w:rsidR="00DA35E1" w:rsidRPr="00506650" w:rsidRDefault="00DA35E1" w:rsidP="009C1137">
            <w:pPr>
              <w:pStyle w:val="TableParagraph"/>
              <w:ind w:right="456" w:hanging="171"/>
              <w:jc w:val="center"/>
            </w:pPr>
            <w:r w:rsidRPr="00506650">
              <w:t>2.9</w:t>
            </w:r>
          </w:p>
        </w:tc>
        <w:tc>
          <w:tcPr>
            <w:tcW w:w="1440" w:type="dxa"/>
            <w:shd w:val="clear" w:color="auto" w:fill="C5E0B3" w:themeFill="accent6" w:themeFillTint="66"/>
            <w:vAlign w:val="center"/>
            <w:hideMark/>
          </w:tcPr>
          <w:p w14:paraId="47CB56B6" w14:textId="4D35E217" w:rsidR="00DA35E1" w:rsidRPr="00506650" w:rsidRDefault="00DA35E1" w:rsidP="009C1137">
            <w:pPr>
              <w:pStyle w:val="TableParagraph"/>
              <w:ind w:right="425" w:hanging="179"/>
              <w:jc w:val="center"/>
            </w:pPr>
            <w:r w:rsidRPr="00506650">
              <w:t>1.9</w:t>
            </w:r>
          </w:p>
        </w:tc>
        <w:tc>
          <w:tcPr>
            <w:tcW w:w="1441" w:type="dxa"/>
            <w:shd w:val="clear" w:color="auto" w:fill="C5E0B3" w:themeFill="accent6" w:themeFillTint="66"/>
            <w:vAlign w:val="center"/>
            <w:hideMark/>
          </w:tcPr>
          <w:p w14:paraId="5ECA57BC" w14:textId="63337E05" w:rsidR="00DA35E1" w:rsidRPr="00506650" w:rsidRDefault="00DA35E1" w:rsidP="009C1137">
            <w:pPr>
              <w:pStyle w:val="TableParagraph"/>
              <w:ind w:right="426" w:hanging="171"/>
              <w:jc w:val="center"/>
            </w:pPr>
            <w:r w:rsidRPr="00506650">
              <w:t>3.7</w:t>
            </w:r>
          </w:p>
        </w:tc>
        <w:tc>
          <w:tcPr>
            <w:tcW w:w="1445" w:type="dxa"/>
            <w:shd w:val="clear" w:color="auto" w:fill="C5E0B3" w:themeFill="accent6" w:themeFillTint="66"/>
            <w:vAlign w:val="center"/>
          </w:tcPr>
          <w:p w14:paraId="1394BC6A" w14:textId="7D0F0461" w:rsidR="00DA35E1" w:rsidRPr="00506650" w:rsidRDefault="00DA35E1" w:rsidP="009C1137">
            <w:pPr>
              <w:jc w:val="center"/>
              <w:rPr>
                <w:rFonts w:ascii="Times New Roman"/>
              </w:rPr>
            </w:pPr>
            <w:r>
              <w:t>7.4</w:t>
            </w:r>
          </w:p>
        </w:tc>
        <w:tc>
          <w:tcPr>
            <w:tcW w:w="1442" w:type="dxa"/>
            <w:shd w:val="clear" w:color="auto" w:fill="C5E0B3" w:themeFill="accent6" w:themeFillTint="66"/>
            <w:vAlign w:val="center"/>
          </w:tcPr>
          <w:p w14:paraId="0CE27E5C" w14:textId="05C732C6" w:rsidR="00DA35E1" w:rsidRDefault="00462FF3" w:rsidP="009C1137">
            <w:pPr>
              <w:pStyle w:val="TableParagraph"/>
              <w:spacing w:before="0"/>
              <w:ind w:left="0"/>
              <w:jc w:val="center"/>
            </w:pPr>
            <w:r>
              <w:t>4.6</w:t>
            </w:r>
          </w:p>
        </w:tc>
      </w:tr>
      <w:tr w:rsidR="00DA35E1" w14:paraId="27EB7C54" w14:textId="68164452" w:rsidTr="00CD5B52">
        <w:trPr>
          <w:trHeight w:val="450"/>
          <w:jc w:val="center"/>
        </w:trPr>
        <w:tc>
          <w:tcPr>
            <w:tcW w:w="1724" w:type="dxa"/>
            <w:vAlign w:val="center"/>
            <w:hideMark/>
          </w:tcPr>
          <w:p w14:paraId="24B9788F" w14:textId="77777777" w:rsidR="00DA35E1" w:rsidRPr="00506650" w:rsidRDefault="00DA35E1" w:rsidP="00DA35E1">
            <w:pPr>
              <w:pStyle w:val="TableParagraph"/>
              <w:ind w:left="271"/>
            </w:pPr>
            <w:r w:rsidRPr="00506650">
              <w:t>July</w:t>
            </w:r>
          </w:p>
        </w:tc>
        <w:tc>
          <w:tcPr>
            <w:tcW w:w="1440" w:type="dxa"/>
            <w:vAlign w:val="center"/>
            <w:hideMark/>
          </w:tcPr>
          <w:p w14:paraId="7A52C316" w14:textId="607C5C75" w:rsidR="00DA35E1" w:rsidRPr="00506650" w:rsidRDefault="00DA35E1" w:rsidP="009C1137">
            <w:pPr>
              <w:pStyle w:val="TableParagraph"/>
              <w:ind w:right="456" w:hanging="171"/>
              <w:jc w:val="center"/>
            </w:pPr>
            <w:r w:rsidRPr="00506650">
              <w:t>1.5</w:t>
            </w:r>
          </w:p>
        </w:tc>
        <w:tc>
          <w:tcPr>
            <w:tcW w:w="1440" w:type="dxa"/>
            <w:vAlign w:val="center"/>
            <w:hideMark/>
          </w:tcPr>
          <w:p w14:paraId="54132B96" w14:textId="2D8A9448" w:rsidR="00DA35E1" w:rsidRPr="00506650" w:rsidRDefault="00DA35E1" w:rsidP="009C1137">
            <w:pPr>
              <w:pStyle w:val="TableParagraph"/>
              <w:ind w:right="425" w:hanging="179"/>
              <w:jc w:val="center"/>
            </w:pPr>
            <w:r w:rsidRPr="00506650">
              <w:t>1.3</w:t>
            </w:r>
          </w:p>
        </w:tc>
        <w:tc>
          <w:tcPr>
            <w:tcW w:w="1441" w:type="dxa"/>
            <w:vAlign w:val="center"/>
            <w:hideMark/>
          </w:tcPr>
          <w:p w14:paraId="7E7BF86C" w14:textId="6D6D2897" w:rsidR="00DA35E1" w:rsidRPr="00506650" w:rsidRDefault="00DA35E1" w:rsidP="009C1137">
            <w:pPr>
              <w:pStyle w:val="TableParagraph"/>
              <w:ind w:right="426" w:hanging="171"/>
              <w:jc w:val="center"/>
            </w:pPr>
            <w:r w:rsidRPr="00506650">
              <w:t>4.6</w:t>
            </w:r>
          </w:p>
        </w:tc>
        <w:tc>
          <w:tcPr>
            <w:tcW w:w="1445" w:type="dxa"/>
            <w:vAlign w:val="center"/>
          </w:tcPr>
          <w:p w14:paraId="74F64CC1" w14:textId="5EE7C75C" w:rsidR="00DA35E1" w:rsidRPr="00506650" w:rsidRDefault="00DA35E1" w:rsidP="009C1137">
            <w:pPr>
              <w:jc w:val="center"/>
              <w:rPr>
                <w:rFonts w:ascii="Times New Roman"/>
              </w:rPr>
            </w:pPr>
            <w:r>
              <w:t>9</w:t>
            </w:r>
            <w:r w:rsidRPr="00506650">
              <w:t>.6</w:t>
            </w:r>
          </w:p>
        </w:tc>
        <w:tc>
          <w:tcPr>
            <w:tcW w:w="1442" w:type="dxa"/>
            <w:vAlign w:val="center"/>
          </w:tcPr>
          <w:p w14:paraId="3947E0C5" w14:textId="0F0B74D6" w:rsidR="00DA35E1" w:rsidRDefault="003A6F11" w:rsidP="009C1137">
            <w:pPr>
              <w:pStyle w:val="TableParagraph"/>
              <w:spacing w:before="0"/>
              <w:ind w:left="0"/>
              <w:jc w:val="center"/>
            </w:pPr>
            <w:r>
              <w:t>2.7</w:t>
            </w:r>
          </w:p>
        </w:tc>
      </w:tr>
      <w:tr w:rsidR="00DA35E1" w14:paraId="185EBC3E" w14:textId="1586BD63" w:rsidTr="00CD5B52">
        <w:trPr>
          <w:trHeight w:val="450"/>
          <w:jc w:val="center"/>
        </w:trPr>
        <w:tc>
          <w:tcPr>
            <w:tcW w:w="1724" w:type="dxa"/>
            <w:shd w:val="clear" w:color="auto" w:fill="C5E0B3" w:themeFill="accent6" w:themeFillTint="66"/>
            <w:vAlign w:val="center"/>
            <w:hideMark/>
          </w:tcPr>
          <w:p w14:paraId="100D71DE" w14:textId="77777777" w:rsidR="00DA35E1" w:rsidRPr="00506650" w:rsidRDefault="00DA35E1" w:rsidP="00DA35E1">
            <w:pPr>
              <w:pStyle w:val="TableParagraph"/>
              <w:ind w:left="271"/>
            </w:pPr>
            <w:r w:rsidRPr="00506650">
              <w:t>August</w:t>
            </w:r>
          </w:p>
        </w:tc>
        <w:tc>
          <w:tcPr>
            <w:tcW w:w="1440" w:type="dxa"/>
            <w:shd w:val="clear" w:color="auto" w:fill="C5E0B3" w:themeFill="accent6" w:themeFillTint="66"/>
            <w:vAlign w:val="center"/>
            <w:hideMark/>
          </w:tcPr>
          <w:p w14:paraId="6ED612D5" w14:textId="15CD681E" w:rsidR="00DA35E1" w:rsidRPr="00506650" w:rsidRDefault="00DA35E1" w:rsidP="009C1137">
            <w:pPr>
              <w:pStyle w:val="TableParagraph"/>
              <w:ind w:right="456" w:hanging="171"/>
              <w:jc w:val="center"/>
            </w:pPr>
            <w:r w:rsidRPr="00506650">
              <w:t>1.6</w:t>
            </w:r>
          </w:p>
        </w:tc>
        <w:tc>
          <w:tcPr>
            <w:tcW w:w="1440" w:type="dxa"/>
            <w:shd w:val="clear" w:color="auto" w:fill="C5E0B3" w:themeFill="accent6" w:themeFillTint="66"/>
            <w:vAlign w:val="center"/>
            <w:hideMark/>
          </w:tcPr>
          <w:p w14:paraId="259D76A2" w14:textId="5D7B3C84" w:rsidR="00DA35E1" w:rsidRPr="00506650" w:rsidRDefault="00DA35E1" w:rsidP="009C1137">
            <w:pPr>
              <w:pStyle w:val="TableParagraph"/>
              <w:ind w:right="425" w:hanging="179"/>
              <w:jc w:val="center"/>
            </w:pPr>
            <w:r w:rsidRPr="00506650">
              <w:t>0.4</w:t>
            </w:r>
          </w:p>
        </w:tc>
        <w:tc>
          <w:tcPr>
            <w:tcW w:w="1441" w:type="dxa"/>
            <w:shd w:val="clear" w:color="auto" w:fill="C5E0B3" w:themeFill="accent6" w:themeFillTint="66"/>
            <w:vAlign w:val="center"/>
            <w:hideMark/>
          </w:tcPr>
          <w:p w14:paraId="24DCE511" w14:textId="7369F15F" w:rsidR="00DA35E1" w:rsidRPr="00506650" w:rsidRDefault="00DA35E1" w:rsidP="009C1137">
            <w:pPr>
              <w:pStyle w:val="TableParagraph"/>
              <w:ind w:right="426" w:hanging="171"/>
              <w:jc w:val="center"/>
            </w:pPr>
            <w:r w:rsidRPr="00506650">
              <w:t>6.2</w:t>
            </w:r>
          </w:p>
        </w:tc>
        <w:tc>
          <w:tcPr>
            <w:tcW w:w="1445" w:type="dxa"/>
            <w:shd w:val="clear" w:color="auto" w:fill="C5E0B3" w:themeFill="accent6" w:themeFillTint="66"/>
            <w:vAlign w:val="center"/>
          </w:tcPr>
          <w:p w14:paraId="494C8A34" w14:textId="572ADFD3" w:rsidR="00DA35E1" w:rsidRPr="00506650" w:rsidRDefault="00DA35E1" w:rsidP="009C1137">
            <w:pPr>
              <w:jc w:val="center"/>
              <w:rPr>
                <w:rFonts w:ascii="Times New Roman"/>
              </w:rPr>
            </w:pPr>
            <w:r>
              <w:t>8.3</w:t>
            </w:r>
          </w:p>
        </w:tc>
        <w:tc>
          <w:tcPr>
            <w:tcW w:w="1442" w:type="dxa"/>
            <w:shd w:val="clear" w:color="auto" w:fill="C5E0B3" w:themeFill="accent6" w:themeFillTint="66"/>
            <w:vAlign w:val="center"/>
          </w:tcPr>
          <w:p w14:paraId="6D1C2DF1" w14:textId="508FBD75" w:rsidR="00DA35E1" w:rsidRDefault="00715F07" w:rsidP="009C1137">
            <w:pPr>
              <w:pStyle w:val="TableParagraph"/>
              <w:spacing w:before="0"/>
              <w:ind w:left="0"/>
              <w:jc w:val="center"/>
            </w:pPr>
            <w:r>
              <w:t>3.1</w:t>
            </w:r>
          </w:p>
        </w:tc>
      </w:tr>
      <w:tr w:rsidR="00DA35E1" w14:paraId="025A4AE3" w14:textId="6D1B727B" w:rsidTr="00CD5B52">
        <w:trPr>
          <w:trHeight w:val="450"/>
          <w:jc w:val="center"/>
        </w:trPr>
        <w:tc>
          <w:tcPr>
            <w:tcW w:w="1724" w:type="dxa"/>
            <w:vAlign w:val="center"/>
            <w:hideMark/>
          </w:tcPr>
          <w:p w14:paraId="056857B7" w14:textId="77777777" w:rsidR="00DA35E1" w:rsidRPr="00506650" w:rsidRDefault="00DA35E1" w:rsidP="00DA35E1">
            <w:pPr>
              <w:pStyle w:val="TableParagraph"/>
              <w:ind w:left="271"/>
            </w:pPr>
            <w:r w:rsidRPr="00506650">
              <w:t>September</w:t>
            </w:r>
          </w:p>
        </w:tc>
        <w:tc>
          <w:tcPr>
            <w:tcW w:w="1440" w:type="dxa"/>
            <w:vAlign w:val="center"/>
            <w:hideMark/>
          </w:tcPr>
          <w:p w14:paraId="0EF9BC02" w14:textId="44E39479" w:rsidR="00DA35E1" w:rsidRPr="00506650" w:rsidRDefault="006C0051" w:rsidP="009C1137">
            <w:pPr>
              <w:pStyle w:val="TableParagraph"/>
              <w:ind w:right="456" w:hanging="171"/>
              <w:jc w:val="center"/>
            </w:pPr>
            <w:r>
              <w:t>-</w:t>
            </w:r>
            <w:r w:rsidR="00DA35E1" w:rsidRPr="00506650">
              <w:t>0.5</w:t>
            </w:r>
          </w:p>
        </w:tc>
        <w:tc>
          <w:tcPr>
            <w:tcW w:w="1440" w:type="dxa"/>
            <w:vAlign w:val="center"/>
            <w:hideMark/>
          </w:tcPr>
          <w:p w14:paraId="1DAE58DE" w14:textId="69B9DF4A" w:rsidR="00DA35E1" w:rsidRPr="00506650" w:rsidRDefault="00DA35E1" w:rsidP="009C1137">
            <w:pPr>
              <w:pStyle w:val="TableParagraph"/>
              <w:ind w:right="425" w:hanging="179"/>
              <w:jc w:val="center"/>
            </w:pPr>
            <w:r w:rsidRPr="00506650">
              <w:t>0.5</w:t>
            </w:r>
          </w:p>
        </w:tc>
        <w:tc>
          <w:tcPr>
            <w:tcW w:w="1441" w:type="dxa"/>
            <w:vAlign w:val="center"/>
            <w:hideMark/>
          </w:tcPr>
          <w:p w14:paraId="449402B5" w14:textId="1E8F2C10" w:rsidR="00DA35E1" w:rsidRPr="00506650" w:rsidRDefault="00DA35E1" w:rsidP="009C1137">
            <w:pPr>
              <w:pStyle w:val="TableParagraph"/>
              <w:ind w:right="426" w:hanging="171"/>
              <w:jc w:val="center"/>
            </w:pPr>
            <w:r w:rsidRPr="00506650">
              <w:t>5.7</w:t>
            </w:r>
          </w:p>
        </w:tc>
        <w:tc>
          <w:tcPr>
            <w:tcW w:w="1445" w:type="dxa"/>
            <w:vAlign w:val="center"/>
          </w:tcPr>
          <w:p w14:paraId="7D38AD38" w14:textId="24AF3FA1" w:rsidR="00DA35E1" w:rsidRPr="00506650" w:rsidRDefault="00DA35E1" w:rsidP="009C1137">
            <w:pPr>
              <w:jc w:val="center"/>
              <w:rPr>
                <w:rFonts w:ascii="Times New Roman"/>
              </w:rPr>
            </w:pPr>
            <w:r>
              <w:t>9.9</w:t>
            </w:r>
          </w:p>
        </w:tc>
        <w:tc>
          <w:tcPr>
            <w:tcW w:w="1442" w:type="dxa"/>
            <w:vAlign w:val="center"/>
          </w:tcPr>
          <w:p w14:paraId="5103C34E" w14:textId="77777777" w:rsidR="00DA35E1" w:rsidRDefault="00DA35E1" w:rsidP="009C1137">
            <w:pPr>
              <w:pStyle w:val="TableParagraph"/>
              <w:spacing w:before="0"/>
              <w:ind w:left="0"/>
              <w:jc w:val="center"/>
            </w:pPr>
          </w:p>
        </w:tc>
      </w:tr>
      <w:tr w:rsidR="00DA35E1" w14:paraId="13B8D792" w14:textId="18687376" w:rsidTr="00CD5B52">
        <w:trPr>
          <w:trHeight w:val="450"/>
          <w:jc w:val="center"/>
        </w:trPr>
        <w:tc>
          <w:tcPr>
            <w:tcW w:w="1724" w:type="dxa"/>
            <w:shd w:val="clear" w:color="auto" w:fill="C5E0B3" w:themeFill="accent6" w:themeFillTint="66"/>
            <w:vAlign w:val="center"/>
            <w:hideMark/>
          </w:tcPr>
          <w:p w14:paraId="5CF79E96" w14:textId="77777777" w:rsidR="00DA35E1" w:rsidRPr="00506650" w:rsidRDefault="00DA35E1" w:rsidP="00DA35E1">
            <w:pPr>
              <w:pStyle w:val="TableParagraph"/>
              <w:ind w:left="271"/>
            </w:pPr>
            <w:r w:rsidRPr="00506650">
              <w:t>October</w:t>
            </w:r>
          </w:p>
        </w:tc>
        <w:tc>
          <w:tcPr>
            <w:tcW w:w="1440" w:type="dxa"/>
            <w:shd w:val="clear" w:color="auto" w:fill="C5E0B3" w:themeFill="accent6" w:themeFillTint="66"/>
            <w:vAlign w:val="center"/>
            <w:hideMark/>
          </w:tcPr>
          <w:p w14:paraId="228BBC35" w14:textId="1B7B19AD" w:rsidR="00DA35E1" w:rsidRPr="00506650" w:rsidRDefault="006C0051" w:rsidP="009C1137">
            <w:pPr>
              <w:pStyle w:val="TableParagraph"/>
              <w:ind w:right="456" w:hanging="171"/>
              <w:jc w:val="center"/>
            </w:pPr>
            <w:r>
              <w:t>-</w:t>
            </w:r>
            <w:r w:rsidR="00DA35E1" w:rsidRPr="00506650">
              <w:t>1.1</w:t>
            </w:r>
          </w:p>
        </w:tc>
        <w:tc>
          <w:tcPr>
            <w:tcW w:w="1440" w:type="dxa"/>
            <w:shd w:val="clear" w:color="auto" w:fill="C5E0B3" w:themeFill="accent6" w:themeFillTint="66"/>
            <w:vAlign w:val="center"/>
            <w:hideMark/>
          </w:tcPr>
          <w:p w14:paraId="65C01452" w14:textId="0B5F15F0" w:rsidR="00DA35E1" w:rsidRPr="00506650" w:rsidRDefault="00DA35E1" w:rsidP="009C1137">
            <w:pPr>
              <w:pStyle w:val="TableParagraph"/>
              <w:ind w:right="425" w:hanging="179"/>
              <w:jc w:val="center"/>
            </w:pPr>
            <w:r w:rsidRPr="00506650">
              <w:t>1.8</w:t>
            </w:r>
          </w:p>
        </w:tc>
        <w:tc>
          <w:tcPr>
            <w:tcW w:w="1441" w:type="dxa"/>
            <w:shd w:val="clear" w:color="auto" w:fill="C5E0B3" w:themeFill="accent6" w:themeFillTint="66"/>
            <w:vAlign w:val="center"/>
            <w:hideMark/>
          </w:tcPr>
          <w:p w14:paraId="14D86A2E" w14:textId="01CAF854" w:rsidR="00DA35E1" w:rsidRPr="00506650" w:rsidRDefault="00DA35E1" w:rsidP="009C1137">
            <w:pPr>
              <w:pStyle w:val="TableParagraph"/>
              <w:ind w:right="426" w:hanging="171"/>
              <w:jc w:val="center"/>
            </w:pPr>
            <w:r w:rsidRPr="00506650">
              <w:t>4.9</w:t>
            </w:r>
          </w:p>
        </w:tc>
        <w:tc>
          <w:tcPr>
            <w:tcW w:w="1445" w:type="dxa"/>
            <w:shd w:val="clear" w:color="auto" w:fill="C5E0B3" w:themeFill="accent6" w:themeFillTint="66"/>
            <w:vAlign w:val="center"/>
          </w:tcPr>
          <w:p w14:paraId="4D6E18C3" w14:textId="060E2B8C" w:rsidR="00DA35E1" w:rsidRPr="007A2E74" w:rsidRDefault="00DA35E1" w:rsidP="009C1137">
            <w:pPr>
              <w:jc w:val="center"/>
              <w:rPr>
                <w:rFonts w:ascii="Arial" w:hAnsi="Arial" w:cs="Arial"/>
              </w:rPr>
            </w:pPr>
            <w:r>
              <w:t>10.5</w:t>
            </w:r>
          </w:p>
        </w:tc>
        <w:tc>
          <w:tcPr>
            <w:tcW w:w="1442" w:type="dxa"/>
            <w:shd w:val="clear" w:color="auto" w:fill="C5E0B3" w:themeFill="accent6" w:themeFillTint="66"/>
            <w:vAlign w:val="center"/>
          </w:tcPr>
          <w:p w14:paraId="7A222D76" w14:textId="77777777" w:rsidR="00DA35E1" w:rsidRDefault="00DA35E1" w:rsidP="009C1137">
            <w:pPr>
              <w:pStyle w:val="TableParagraph"/>
              <w:spacing w:before="0"/>
              <w:ind w:left="0"/>
              <w:jc w:val="center"/>
            </w:pPr>
          </w:p>
        </w:tc>
      </w:tr>
      <w:tr w:rsidR="00DA35E1" w14:paraId="63E34DCD" w14:textId="0C36FF88" w:rsidTr="00CD5B52">
        <w:trPr>
          <w:trHeight w:val="450"/>
          <w:jc w:val="center"/>
        </w:trPr>
        <w:tc>
          <w:tcPr>
            <w:tcW w:w="1724" w:type="dxa"/>
            <w:vAlign w:val="center"/>
            <w:hideMark/>
          </w:tcPr>
          <w:p w14:paraId="3532B0A4" w14:textId="77777777" w:rsidR="00DA35E1" w:rsidRPr="00506650" w:rsidRDefault="00DA35E1" w:rsidP="00DA35E1">
            <w:pPr>
              <w:pStyle w:val="TableParagraph"/>
              <w:ind w:left="271"/>
            </w:pPr>
            <w:r w:rsidRPr="00506650">
              <w:t>November</w:t>
            </w:r>
          </w:p>
        </w:tc>
        <w:tc>
          <w:tcPr>
            <w:tcW w:w="1440" w:type="dxa"/>
            <w:vAlign w:val="center"/>
            <w:hideMark/>
          </w:tcPr>
          <w:p w14:paraId="74AF4AAF" w14:textId="7D62624F" w:rsidR="00DA35E1" w:rsidRPr="00506650" w:rsidRDefault="00DA35E1" w:rsidP="009C1137">
            <w:pPr>
              <w:pStyle w:val="TableParagraph"/>
              <w:ind w:right="456" w:hanging="171"/>
              <w:jc w:val="center"/>
            </w:pPr>
            <w:r w:rsidRPr="00506650">
              <w:t>0.9</w:t>
            </w:r>
          </w:p>
        </w:tc>
        <w:tc>
          <w:tcPr>
            <w:tcW w:w="1440" w:type="dxa"/>
            <w:vAlign w:val="center"/>
            <w:hideMark/>
          </w:tcPr>
          <w:p w14:paraId="03D103E1" w14:textId="5202E8BC" w:rsidR="00DA35E1" w:rsidRPr="00506650" w:rsidRDefault="00DA35E1" w:rsidP="009C1137">
            <w:pPr>
              <w:pStyle w:val="TableParagraph"/>
              <w:ind w:right="425" w:hanging="179"/>
              <w:jc w:val="center"/>
            </w:pPr>
            <w:r w:rsidRPr="00506650">
              <w:t>0.9</w:t>
            </w:r>
          </w:p>
        </w:tc>
        <w:tc>
          <w:tcPr>
            <w:tcW w:w="1441" w:type="dxa"/>
            <w:vAlign w:val="center"/>
            <w:hideMark/>
          </w:tcPr>
          <w:p w14:paraId="048E7C39" w14:textId="33C06B9E" w:rsidR="00DA35E1" w:rsidRPr="00506650" w:rsidRDefault="00DA35E1" w:rsidP="009C1137">
            <w:pPr>
              <w:pStyle w:val="TableParagraph"/>
              <w:ind w:right="426" w:hanging="171"/>
              <w:jc w:val="center"/>
            </w:pPr>
            <w:r w:rsidRPr="00506650">
              <w:t>5.6</w:t>
            </w:r>
          </w:p>
        </w:tc>
        <w:tc>
          <w:tcPr>
            <w:tcW w:w="1445" w:type="dxa"/>
            <w:vAlign w:val="center"/>
          </w:tcPr>
          <w:p w14:paraId="694053FF" w14:textId="31551769" w:rsidR="00DA35E1" w:rsidRPr="00506650" w:rsidRDefault="00DA35E1" w:rsidP="009C1137">
            <w:pPr>
              <w:jc w:val="center"/>
              <w:rPr>
                <w:rFonts w:ascii="Times New Roman"/>
              </w:rPr>
            </w:pPr>
            <w:r>
              <w:t>11.4</w:t>
            </w:r>
          </w:p>
        </w:tc>
        <w:tc>
          <w:tcPr>
            <w:tcW w:w="1442" w:type="dxa"/>
            <w:vAlign w:val="center"/>
          </w:tcPr>
          <w:p w14:paraId="34F5BB08" w14:textId="77777777" w:rsidR="00DA35E1" w:rsidRDefault="00DA35E1" w:rsidP="009C1137">
            <w:pPr>
              <w:pStyle w:val="TableParagraph"/>
              <w:spacing w:before="0"/>
              <w:ind w:left="0"/>
              <w:jc w:val="center"/>
            </w:pPr>
          </w:p>
        </w:tc>
      </w:tr>
      <w:tr w:rsidR="00DA35E1" w14:paraId="5AA04130" w14:textId="5214E557" w:rsidTr="00CD5B52">
        <w:trPr>
          <w:trHeight w:val="449"/>
          <w:jc w:val="center"/>
        </w:trPr>
        <w:tc>
          <w:tcPr>
            <w:tcW w:w="1724" w:type="dxa"/>
            <w:shd w:val="clear" w:color="auto" w:fill="C5E0B3" w:themeFill="accent6" w:themeFillTint="66"/>
            <w:vAlign w:val="center"/>
            <w:hideMark/>
          </w:tcPr>
          <w:p w14:paraId="222CAE75" w14:textId="77777777" w:rsidR="00DA35E1" w:rsidRPr="00506650" w:rsidRDefault="00DA35E1" w:rsidP="00DA35E1">
            <w:pPr>
              <w:pStyle w:val="TableParagraph"/>
              <w:ind w:left="271"/>
            </w:pPr>
            <w:r w:rsidRPr="00506650">
              <w:t>December</w:t>
            </w:r>
          </w:p>
        </w:tc>
        <w:tc>
          <w:tcPr>
            <w:tcW w:w="1440" w:type="dxa"/>
            <w:shd w:val="clear" w:color="auto" w:fill="C5E0B3" w:themeFill="accent6" w:themeFillTint="66"/>
            <w:vAlign w:val="center"/>
            <w:hideMark/>
          </w:tcPr>
          <w:p w14:paraId="272D7115" w14:textId="680AF441" w:rsidR="00DA35E1" w:rsidRPr="00506650" w:rsidRDefault="00DA35E1" w:rsidP="009C1137">
            <w:pPr>
              <w:pStyle w:val="TableParagraph"/>
              <w:ind w:right="456" w:hanging="171"/>
              <w:jc w:val="center"/>
            </w:pPr>
            <w:r w:rsidRPr="00506650">
              <w:t>2.2</w:t>
            </w:r>
          </w:p>
        </w:tc>
        <w:tc>
          <w:tcPr>
            <w:tcW w:w="1440" w:type="dxa"/>
            <w:shd w:val="clear" w:color="auto" w:fill="C5E0B3" w:themeFill="accent6" w:themeFillTint="66"/>
            <w:vAlign w:val="center"/>
            <w:hideMark/>
          </w:tcPr>
          <w:p w14:paraId="1557FD69" w14:textId="231DF8EA" w:rsidR="00DA35E1" w:rsidRPr="00506650" w:rsidRDefault="00DA35E1" w:rsidP="009C1137">
            <w:pPr>
              <w:pStyle w:val="TableParagraph"/>
              <w:ind w:right="425" w:hanging="179"/>
              <w:jc w:val="center"/>
            </w:pPr>
            <w:r w:rsidRPr="00506650">
              <w:t>0.5</w:t>
            </w:r>
          </w:p>
        </w:tc>
        <w:tc>
          <w:tcPr>
            <w:tcW w:w="1441" w:type="dxa"/>
            <w:shd w:val="clear" w:color="auto" w:fill="C5E0B3" w:themeFill="accent6" w:themeFillTint="66"/>
            <w:vAlign w:val="center"/>
            <w:hideMark/>
          </w:tcPr>
          <w:p w14:paraId="6BA16342" w14:textId="4E3F8690" w:rsidR="00DA35E1" w:rsidRPr="00506650" w:rsidRDefault="00DA35E1" w:rsidP="009C1137">
            <w:pPr>
              <w:pStyle w:val="TableParagraph"/>
              <w:ind w:right="426" w:hanging="171"/>
              <w:jc w:val="center"/>
            </w:pPr>
            <w:r w:rsidRPr="00506650">
              <w:t>5.4</w:t>
            </w:r>
          </w:p>
        </w:tc>
        <w:tc>
          <w:tcPr>
            <w:tcW w:w="1445" w:type="dxa"/>
            <w:shd w:val="clear" w:color="auto" w:fill="C5E0B3" w:themeFill="accent6" w:themeFillTint="66"/>
            <w:vAlign w:val="center"/>
          </w:tcPr>
          <w:p w14:paraId="2969CB12" w14:textId="7D3708CD" w:rsidR="00DA35E1" w:rsidRPr="00506650" w:rsidRDefault="00DA35E1" w:rsidP="009C1137">
            <w:pPr>
              <w:jc w:val="center"/>
              <w:rPr>
                <w:rFonts w:ascii="Times New Roman"/>
              </w:rPr>
            </w:pPr>
            <w:r>
              <w:t>9.8</w:t>
            </w:r>
          </w:p>
        </w:tc>
        <w:tc>
          <w:tcPr>
            <w:tcW w:w="1442" w:type="dxa"/>
            <w:shd w:val="clear" w:color="auto" w:fill="C5E0B3" w:themeFill="accent6" w:themeFillTint="66"/>
            <w:vAlign w:val="center"/>
          </w:tcPr>
          <w:p w14:paraId="06AF26BB" w14:textId="77777777" w:rsidR="00DA35E1" w:rsidRDefault="00DA35E1" w:rsidP="009C1137">
            <w:pPr>
              <w:pStyle w:val="TableParagraph"/>
              <w:spacing w:before="0"/>
              <w:ind w:left="0"/>
              <w:jc w:val="center"/>
            </w:pPr>
          </w:p>
        </w:tc>
      </w:tr>
      <w:tr w:rsidR="00DA35E1" w14:paraId="624D17E7" w14:textId="086D8B89" w:rsidTr="00E85FCD">
        <w:trPr>
          <w:trHeight w:val="70"/>
          <w:jc w:val="center"/>
        </w:trPr>
        <w:tc>
          <w:tcPr>
            <w:tcW w:w="7493" w:type="dxa"/>
            <w:gridSpan w:val="5"/>
            <w:vAlign w:val="center"/>
          </w:tcPr>
          <w:p w14:paraId="50F1AB7F" w14:textId="77777777" w:rsidR="00DA35E1" w:rsidRPr="00516639" w:rsidRDefault="00DA35E1" w:rsidP="00B322C2">
            <w:pPr>
              <w:ind w:right="456"/>
              <w:jc w:val="center"/>
              <w:rPr>
                <w:rFonts w:ascii="Times New Roman"/>
                <w:sz w:val="16"/>
              </w:rPr>
            </w:pPr>
          </w:p>
        </w:tc>
        <w:tc>
          <w:tcPr>
            <w:tcW w:w="1442" w:type="dxa"/>
          </w:tcPr>
          <w:p w14:paraId="6D8EB1B3" w14:textId="77777777" w:rsidR="00DA35E1" w:rsidRPr="00516639" w:rsidRDefault="00DA35E1" w:rsidP="00506650">
            <w:pPr>
              <w:pStyle w:val="TableParagraph"/>
              <w:spacing w:before="0"/>
              <w:ind w:left="0"/>
              <w:jc w:val="center"/>
              <w:rPr>
                <w:rFonts w:ascii="Times New Roman"/>
                <w:sz w:val="16"/>
              </w:rPr>
            </w:pPr>
          </w:p>
        </w:tc>
      </w:tr>
      <w:tr w:rsidR="00DA35E1" w14:paraId="2ED2EFED" w14:textId="1644234E" w:rsidTr="002B7BD1">
        <w:trPr>
          <w:trHeight w:val="409"/>
          <w:jc w:val="center"/>
        </w:trPr>
        <w:tc>
          <w:tcPr>
            <w:tcW w:w="1724" w:type="dxa"/>
            <w:shd w:val="clear" w:color="auto" w:fill="C5E0B3" w:themeFill="accent6" w:themeFillTint="66"/>
            <w:vAlign w:val="center"/>
            <w:hideMark/>
          </w:tcPr>
          <w:p w14:paraId="429AE0EB" w14:textId="77777777" w:rsidR="00DA35E1" w:rsidRPr="00506650" w:rsidRDefault="00DA35E1" w:rsidP="007E7348">
            <w:pPr>
              <w:pStyle w:val="TableParagraph"/>
              <w:spacing w:before="27" w:line="229" w:lineRule="exact"/>
              <w:ind w:left="271"/>
              <w:rPr>
                <w:rFonts w:ascii="Arial"/>
                <w:b/>
              </w:rPr>
            </w:pPr>
            <w:r w:rsidRPr="00506650">
              <w:rPr>
                <w:rFonts w:ascii="Arial"/>
                <w:b/>
              </w:rPr>
              <w:t>Average</w:t>
            </w:r>
          </w:p>
        </w:tc>
        <w:tc>
          <w:tcPr>
            <w:tcW w:w="1440" w:type="dxa"/>
            <w:shd w:val="clear" w:color="auto" w:fill="C5E0B3" w:themeFill="accent6" w:themeFillTint="66"/>
            <w:vAlign w:val="center"/>
            <w:hideMark/>
          </w:tcPr>
          <w:p w14:paraId="4AB375B5" w14:textId="23DD9A8D" w:rsidR="00DA35E1" w:rsidRPr="007E7348" w:rsidRDefault="006C0051" w:rsidP="00B322C2">
            <w:pPr>
              <w:pStyle w:val="TableParagraph"/>
              <w:spacing w:before="27" w:line="229" w:lineRule="exact"/>
              <w:ind w:right="456" w:hanging="171"/>
              <w:jc w:val="center"/>
              <w:rPr>
                <w:rFonts w:ascii="Arial"/>
                <w:b/>
              </w:rPr>
            </w:pPr>
            <w:r>
              <w:rPr>
                <w:b/>
              </w:rPr>
              <w:t>2.6</w:t>
            </w:r>
          </w:p>
        </w:tc>
        <w:tc>
          <w:tcPr>
            <w:tcW w:w="1440" w:type="dxa"/>
            <w:shd w:val="clear" w:color="auto" w:fill="C5E0B3" w:themeFill="accent6" w:themeFillTint="66"/>
            <w:vAlign w:val="center"/>
            <w:hideMark/>
          </w:tcPr>
          <w:p w14:paraId="61B76E87" w14:textId="09ADBB46" w:rsidR="00DA35E1" w:rsidRPr="007E7348" w:rsidRDefault="00DA35E1" w:rsidP="00DA35E1">
            <w:pPr>
              <w:pStyle w:val="TableParagraph"/>
              <w:spacing w:before="27" w:line="229" w:lineRule="exact"/>
              <w:ind w:right="425" w:hanging="179"/>
              <w:jc w:val="center"/>
              <w:rPr>
                <w:rFonts w:ascii="Arial"/>
                <w:b/>
              </w:rPr>
            </w:pPr>
            <w:r w:rsidRPr="007E7348">
              <w:rPr>
                <w:b/>
              </w:rPr>
              <w:t>1.5</w:t>
            </w:r>
          </w:p>
        </w:tc>
        <w:tc>
          <w:tcPr>
            <w:tcW w:w="1441" w:type="dxa"/>
            <w:shd w:val="clear" w:color="auto" w:fill="C5E0B3" w:themeFill="accent6" w:themeFillTint="66"/>
            <w:vAlign w:val="center"/>
            <w:hideMark/>
          </w:tcPr>
          <w:p w14:paraId="55181FB6" w14:textId="47BC7BBA" w:rsidR="00DA35E1" w:rsidRPr="007E7348" w:rsidRDefault="00DA35E1" w:rsidP="00DA35E1">
            <w:pPr>
              <w:pStyle w:val="TableParagraph"/>
              <w:spacing w:before="27" w:line="229" w:lineRule="exact"/>
              <w:ind w:right="426" w:hanging="171"/>
              <w:jc w:val="center"/>
              <w:rPr>
                <w:rFonts w:ascii="Arial"/>
                <w:b/>
              </w:rPr>
            </w:pPr>
            <w:r w:rsidRPr="007E7348">
              <w:rPr>
                <w:b/>
              </w:rPr>
              <w:t>4.1</w:t>
            </w:r>
          </w:p>
        </w:tc>
        <w:tc>
          <w:tcPr>
            <w:tcW w:w="1445" w:type="dxa"/>
            <w:shd w:val="clear" w:color="auto" w:fill="C5E0B3" w:themeFill="accent6" w:themeFillTint="66"/>
            <w:vAlign w:val="center"/>
            <w:hideMark/>
          </w:tcPr>
          <w:p w14:paraId="19856DD3" w14:textId="1F25419B" w:rsidR="00DA35E1" w:rsidRPr="007E7348" w:rsidRDefault="00DA35E1" w:rsidP="00DA35E1">
            <w:pPr>
              <w:jc w:val="center"/>
              <w:rPr>
                <w:rFonts w:ascii="Arial"/>
                <w:b/>
              </w:rPr>
            </w:pPr>
            <w:r>
              <w:rPr>
                <w:rFonts w:ascii="Arial"/>
                <w:b/>
              </w:rPr>
              <w:t>8.0</w:t>
            </w:r>
          </w:p>
        </w:tc>
        <w:tc>
          <w:tcPr>
            <w:tcW w:w="1442" w:type="dxa"/>
            <w:shd w:val="clear" w:color="auto" w:fill="C5E0B3" w:themeFill="accent6" w:themeFillTint="66"/>
            <w:vAlign w:val="center"/>
          </w:tcPr>
          <w:p w14:paraId="4F0B23CD" w14:textId="52ABDF43" w:rsidR="00DA35E1" w:rsidRDefault="00715F07" w:rsidP="00DA35E1">
            <w:pPr>
              <w:jc w:val="center"/>
              <w:rPr>
                <w:rFonts w:ascii="Arial"/>
                <w:b/>
              </w:rPr>
            </w:pPr>
            <w:r>
              <w:rPr>
                <w:rFonts w:ascii="Arial"/>
                <w:b/>
              </w:rPr>
              <w:t>6.0</w:t>
            </w:r>
          </w:p>
        </w:tc>
      </w:tr>
    </w:tbl>
    <w:p w14:paraId="1D79098A" w14:textId="77777777" w:rsidR="002B7BD1" w:rsidRPr="002B7BD1" w:rsidRDefault="002B7BD1" w:rsidP="002B7BD1">
      <w:pPr>
        <w:spacing w:line="244" w:lineRule="auto"/>
        <w:ind w:left="426" w:right="521"/>
        <w:rPr>
          <w:rFonts w:ascii="Arial"/>
          <w:i/>
          <w:sz w:val="2"/>
          <w:szCs w:val="19"/>
        </w:rPr>
      </w:pPr>
    </w:p>
    <w:p w14:paraId="7B84A81B" w14:textId="2F1D98BB" w:rsidR="009C1137" w:rsidRPr="009C1137" w:rsidRDefault="00C57456" w:rsidP="002B7BD1">
      <w:pPr>
        <w:spacing w:line="244" w:lineRule="auto"/>
        <w:ind w:left="426" w:right="521"/>
        <w:rPr>
          <w:rFonts w:ascii="Arial"/>
          <w:i/>
          <w:w w:val="105"/>
          <w:sz w:val="19"/>
          <w:szCs w:val="19"/>
        </w:rPr>
      </w:pPr>
      <w:r w:rsidRPr="00AF78EF">
        <w:rPr>
          <w:rFonts w:ascii="Arial"/>
          <w:i/>
          <w:sz w:val="19"/>
          <w:szCs w:val="19"/>
        </w:rPr>
        <w:t>Source: Retail</w:t>
      </w:r>
      <w:r w:rsidRPr="00AF78EF">
        <w:rPr>
          <w:rFonts w:ascii="Arial"/>
          <w:i/>
          <w:spacing w:val="1"/>
          <w:sz w:val="19"/>
          <w:szCs w:val="19"/>
        </w:rPr>
        <w:t xml:space="preserve"> </w:t>
      </w:r>
      <w:r w:rsidRPr="00AF78EF">
        <w:rPr>
          <w:rFonts w:ascii="Arial"/>
          <w:i/>
          <w:sz w:val="19"/>
          <w:szCs w:val="19"/>
        </w:rPr>
        <w:t>Price Survey of Commodities for</w:t>
      </w:r>
      <w:r w:rsidRPr="00AF78EF">
        <w:rPr>
          <w:rFonts w:ascii="Arial"/>
          <w:i/>
          <w:spacing w:val="1"/>
          <w:sz w:val="19"/>
          <w:szCs w:val="19"/>
        </w:rPr>
        <w:t xml:space="preserve"> </w:t>
      </w:r>
      <w:r w:rsidRPr="00AF78EF">
        <w:rPr>
          <w:rFonts w:ascii="Arial"/>
          <w:i/>
          <w:sz w:val="19"/>
          <w:szCs w:val="19"/>
        </w:rPr>
        <w:t>the Generation</w:t>
      </w:r>
      <w:r w:rsidRPr="00AF78EF">
        <w:rPr>
          <w:rFonts w:ascii="Arial"/>
          <w:i/>
          <w:spacing w:val="1"/>
          <w:sz w:val="19"/>
          <w:szCs w:val="19"/>
        </w:rPr>
        <w:t xml:space="preserve"> </w:t>
      </w:r>
      <w:r w:rsidRPr="00AF78EF">
        <w:rPr>
          <w:rFonts w:ascii="Arial"/>
          <w:i/>
          <w:sz w:val="19"/>
          <w:szCs w:val="19"/>
        </w:rPr>
        <w:t>of Consumer</w:t>
      </w:r>
      <w:r w:rsidRPr="00AF78EF">
        <w:rPr>
          <w:rFonts w:ascii="Arial"/>
          <w:i/>
          <w:spacing w:val="1"/>
          <w:sz w:val="19"/>
          <w:szCs w:val="19"/>
        </w:rPr>
        <w:t xml:space="preserve"> </w:t>
      </w:r>
      <w:r w:rsidR="00FC71B6">
        <w:rPr>
          <w:rFonts w:ascii="Arial"/>
          <w:i/>
          <w:sz w:val="19"/>
          <w:szCs w:val="19"/>
        </w:rPr>
        <w:t xml:space="preserve">Price </w:t>
      </w:r>
      <w:r w:rsidRPr="00AF78EF">
        <w:rPr>
          <w:rFonts w:ascii="Arial"/>
          <w:i/>
          <w:sz w:val="19"/>
          <w:szCs w:val="19"/>
        </w:rPr>
        <w:t>Index</w:t>
      </w:r>
      <w:r w:rsidR="00FC71B6">
        <w:rPr>
          <w:rFonts w:ascii="Arial"/>
          <w:i/>
          <w:sz w:val="19"/>
          <w:szCs w:val="19"/>
        </w:rPr>
        <w:t xml:space="preserve"> </w:t>
      </w:r>
      <w:r w:rsidRPr="00AF78EF">
        <w:rPr>
          <w:rFonts w:ascii="Arial"/>
          <w:i/>
          <w:w w:val="105"/>
          <w:sz w:val="19"/>
          <w:szCs w:val="19"/>
        </w:rPr>
        <w:t>Philippine Statistics</w:t>
      </w:r>
      <w:r w:rsidRPr="00AF78EF">
        <w:rPr>
          <w:rFonts w:ascii="Arial"/>
          <w:i/>
          <w:spacing w:val="-13"/>
          <w:w w:val="105"/>
          <w:sz w:val="19"/>
          <w:szCs w:val="19"/>
        </w:rPr>
        <w:t xml:space="preserve"> </w:t>
      </w:r>
      <w:r w:rsidR="00516639">
        <w:rPr>
          <w:rFonts w:ascii="Arial"/>
          <w:i/>
          <w:w w:val="105"/>
          <w:sz w:val="19"/>
          <w:szCs w:val="19"/>
        </w:rPr>
        <w:t>Authority</w:t>
      </w:r>
    </w:p>
    <w:p w14:paraId="29C77C4D" w14:textId="05759675" w:rsidR="00B46963" w:rsidRPr="00516639" w:rsidRDefault="00F351CA" w:rsidP="00516639">
      <w:pPr>
        <w:pStyle w:val="BodyText"/>
        <w:spacing w:line="40" w:lineRule="exact"/>
        <w:ind w:left="-1029"/>
        <w:rPr>
          <w:sz w:val="4"/>
        </w:rPr>
      </w:pPr>
      <w:r w:rsidRPr="00AF78EF">
        <w:rPr>
          <w:noProof/>
          <w:sz w:val="4"/>
          <w:lang w:val="en-PH" w:eastAsia="en-PH"/>
        </w:rPr>
        <mc:AlternateContent>
          <mc:Choice Requires="wpg">
            <w:drawing>
              <wp:inline distT="0" distB="0" distL="0" distR="0" wp14:anchorId="792CA74B" wp14:editId="692055BB">
                <wp:extent cx="25400" cy="25400"/>
                <wp:effectExtent l="0" t="0" r="317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5400"/>
                          <a:chOff x="0" y="0"/>
                          <a:chExt cx="40" cy="40"/>
                        </a:xfrm>
                      </wpg:grpSpPr>
                      <wps:wsp>
                        <wps:cNvPr id="6" name="Line 3"/>
                        <wps:cNvCnPr>
                          <a:cxnSpLocks noChangeShapeType="1"/>
                        </wps:cNvCnPr>
                        <wps:spPr bwMode="auto">
                          <a:xfrm>
                            <a:off x="10" y="10"/>
                            <a:ext cx="20" cy="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F2E4668" id="Group 5" o:spid="_x0000_s1026" style="width:2pt;height:2pt;mso-position-horizontal-relative:char;mso-position-vertical-relative:line"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yBcQIAAHYFAAAOAAAAZHJzL2Uyb0RvYy54bWykVNFu2yAUfZ+0f0B+T22nTtpacaopTvrS&#10;rZXafQABbKNhQEDiRNP+fRdw0rV92NT5AS6+cDj3HGBxe+gF2jNjuZJVkl9kCWKSKMplWyXfnzeT&#10;6wRZhyXFQklWJUdmk9vl50+LQZdsqjolKDMIQKQtB10lnXO6TFNLOtZje6E0k5BslOmxg6FpU2rw&#10;AOi9SKdZNk8HZag2ijBr4W8dk8ky4DcNI+6haSxzSFQJcHOhNaHd+jZdLnDZGqw7TkYa+AMseswl&#10;bHqGqrHDaGf4O6ieE6OsatwFUX2qmoYTFmqAavLsTTV3Ru10qKUth1afZQJp3+j0YVjybf9oEKdV&#10;MkuQxD1YFHZFMy/NoNsSZtwZ/aQfTawPwntFflhIp2/zftzGyWg7fFUU4PDOqSDNoTG9h4Ci0SE4&#10;cDw7wA4OEfg5nRUZ2EQgE8PgD+nAxHdrSLceVxXjEug9K1zGrQK9kY6vBU6YfRHR/p+ITx3WLHhj&#10;vUSjiPOTiPdcMnQZNQwTVjIKSA5yFBBJteqwbFmAej5qECsPBXiqgBmX+IEF9f8qaA4qgG7QBdHO&#10;kp70fC0OLrWx7o6pHvmgSgQwDj7h/b11UcfTFG+bVBsuRIAWEg2w0fQKvPIpqwSnPhsGpt2uhEF7&#10;7K9c+EZXXk2Doy1pQOsYpusxdpiLGIOLQno8qAP4jFG8Uz9vspv19fq6mBTT+XpSZHU9+bJZFZP5&#10;Jr+a1Zf1alXnvzy1vCg7TimTnt3pfufFv1k/vjTxZp5v+FmH9DV6OHhA9tQH0nAEo3vx/G0VPT4a&#10;r+14GkMULndYNj5E/vX4cxxmvTyXy98AAAD//wMAUEsDBBQABgAIAAAAIQDv3VOy1wAAAAEBAAAP&#10;AAAAZHJzL2Rvd25yZXYueG1sTI9PS8NAEMXvgt9hGcGb3cR/lJhNKUU9FcFWkN6m2WkSmp0N2W2S&#10;fnvHXvQyw+MNb34vX0yuVQP1ofFsIJ0loIhLbxuuDHxt3+7moEJEtth6JgNnCrAorq9yzKwf+ZOG&#10;TayUhHDI0EAdY5dpHcqaHIaZ74jFO/jeYRTZV9r2OEq4a/V9kjxrhw3Lhxo7WtVUHjcnZ+B9xHH5&#10;kL4O6+Nhdd5tnz6+1ykZc3szLV9ARZri3zH84gs6FMK09ye2QbUGpEi8TPEeRewvSxe5/k9e/AAA&#10;AP//AwBQSwECLQAUAAYACAAAACEAtoM4kv4AAADhAQAAEwAAAAAAAAAAAAAAAAAAAAAAW0NvbnRl&#10;bnRfVHlwZXNdLnhtbFBLAQItABQABgAIAAAAIQA4/SH/1gAAAJQBAAALAAAAAAAAAAAAAAAAAC8B&#10;AABfcmVscy8ucmVsc1BLAQItABQABgAIAAAAIQBaniyBcQIAAHYFAAAOAAAAAAAAAAAAAAAAAC4C&#10;AABkcnMvZTJvRG9jLnhtbFBLAQItABQABgAIAAAAIQDv3VOy1wAAAAEBAAAPAAAAAAAAAAAAAAAA&#10;AMsEAABkcnMvZG93bnJldi54bWxQSwUGAAAAAAQABADzAAAAzwUAAAAA&#10;">
                <v:line id="Line 3" o:spid="_x0000_s1027" style="position:absolute;visibility:visible;mso-wrap-style:square" from="10,10" to="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w10:anchorlock/>
              </v:group>
            </w:pict>
          </mc:Fallback>
        </mc:AlternateContent>
      </w:r>
      <w:bookmarkStart w:id="0" w:name="Note:"/>
      <w:bookmarkEnd w:id="0"/>
    </w:p>
    <w:p w14:paraId="425B64E0" w14:textId="4BEA4DCD" w:rsidR="00B46963" w:rsidRPr="00775B83" w:rsidRDefault="002E7EEC" w:rsidP="00516639">
      <w:pPr>
        <w:widowControl/>
        <w:autoSpaceDE/>
        <w:spacing w:line="264" w:lineRule="auto"/>
        <w:jc w:val="both"/>
        <w:rPr>
          <w:sz w:val="24"/>
          <w:szCs w:val="26"/>
        </w:rPr>
      </w:pPr>
      <w:r>
        <w:rPr>
          <w:sz w:val="24"/>
          <w:szCs w:val="26"/>
        </w:rPr>
        <w:lastRenderedPageBreak/>
        <w:t xml:space="preserve">In </w:t>
      </w:r>
      <w:r w:rsidR="002B7BD1">
        <w:rPr>
          <w:sz w:val="24"/>
          <w:szCs w:val="26"/>
        </w:rPr>
        <w:t>addition, the August</w:t>
      </w:r>
      <w:r w:rsidR="00D07241">
        <w:rPr>
          <w:sz w:val="24"/>
          <w:szCs w:val="26"/>
        </w:rPr>
        <w:t xml:space="preserve"> </w:t>
      </w:r>
      <w:r w:rsidR="004051D5">
        <w:rPr>
          <w:sz w:val="24"/>
          <w:szCs w:val="26"/>
        </w:rPr>
        <w:t>2023</w:t>
      </w:r>
      <w:r w:rsidR="00B46963" w:rsidRPr="00775B83">
        <w:rPr>
          <w:sz w:val="24"/>
          <w:szCs w:val="26"/>
        </w:rPr>
        <w:t xml:space="preserve"> Purchasing Power of Peso (PPP) in Davao del Sur</w:t>
      </w:r>
      <w:r w:rsidR="009F5969">
        <w:rPr>
          <w:sz w:val="24"/>
          <w:szCs w:val="26"/>
        </w:rPr>
        <w:t xml:space="preserve"> </w:t>
      </w:r>
      <w:r w:rsidR="002B7BD1">
        <w:rPr>
          <w:sz w:val="24"/>
          <w:szCs w:val="26"/>
        </w:rPr>
        <w:t>is 0.81</w:t>
      </w:r>
      <w:r w:rsidR="004275D4">
        <w:rPr>
          <w:sz w:val="24"/>
          <w:szCs w:val="26"/>
        </w:rPr>
        <w:t xml:space="preserve">, which is </w:t>
      </w:r>
      <w:r w:rsidR="002B7BD1">
        <w:rPr>
          <w:sz w:val="24"/>
          <w:szCs w:val="26"/>
        </w:rPr>
        <w:t xml:space="preserve">0.01 higher than </w:t>
      </w:r>
      <w:r w:rsidR="00C5423A">
        <w:rPr>
          <w:sz w:val="24"/>
          <w:szCs w:val="26"/>
        </w:rPr>
        <w:t>the</w:t>
      </w:r>
      <w:r w:rsidR="00483CAB">
        <w:rPr>
          <w:sz w:val="24"/>
          <w:szCs w:val="26"/>
        </w:rPr>
        <w:t xml:space="preserve"> previous month</w:t>
      </w:r>
      <w:r w:rsidR="00DB4E79">
        <w:rPr>
          <w:sz w:val="24"/>
          <w:szCs w:val="26"/>
        </w:rPr>
        <w:t>’s PPP</w:t>
      </w:r>
      <w:r w:rsidR="00461E9B">
        <w:rPr>
          <w:sz w:val="24"/>
          <w:szCs w:val="26"/>
        </w:rPr>
        <w:t xml:space="preserve">. In </w:t>
      </w:r>
      <w:r w:rsidR="002B7BD1">
        <w:rPr>
          <w:sz w:val="24"/>
          <w:szCs w:val="26"/>
        </w:rPr>
        <w:t>August</w:t>
      </w:r>
      <w:r w:rsidR="004051D5">
        <w:rPr>
          <w:sz w:val="24"/>
          <w:szCs w:val="26"/>
        </w:rPr>
        <w:t xml:space="preserve"> 2022</w:t>
      </w:r>
      <w:r w:rsidR="00461E9B">
        <w:rPr>
          <w:sz w:val="24"/>
          <w:szCs w:val="26"/>
        </w:rPr>
        <w:t xml:space="preserve">, </w:t>
      </w:r>
      <w:r w:rsidR="004051D5">
        <w:rPr>
          <w:sz w:val="24"/>
          <w:szCs w:val="26"/>
        </w:rPr>
        <w:t xml:space="preserve">the </w:t>
      </w:r>
      <w:r w:rsidR="00461E9B">
        <w:rPr>
          <w:sz w:val="24"/>
          <w:szCs w:val="26"/>
        </w:rPr>
        <w:t xml:space="preserve">PPP is at </w:t>
      </w:r>
      <w:r w:rsidR="009C6FF4">
        <w:rPr>
          <w:sz w:val="24"/>
          <w:szCs w:val="26"/>
        </w:rPr>
        <w:t>0</w:t>
      </w:r>
      <w:r w:rsidR="003A046B">
        <w:rPr>
          <w:sz w:val="24"/>
          <w:szCs w:val="26"/>
        </w:rPr>
        <w:t>.</w:t>
      </w:r>
      <w:r w:rsidR="00A4717E">
        <w:rPr>
          <w:sz w:val="24"/>
          <w:szCs w:val="26"/>
        </w:rPr>
        <w:t>8</w:t>
      </w:r>
      <w:r w:rsidR="00C70AAF">
        <w:rPr>
          <w:sz w:val="24"/>
          <w:szCs w:val="26"/>
        </w:rPr>
        <w:t>4</w:t>
      </w:r>
      <w:r w:rsidR="00B46963" w:rsidRPr="00775B83">
        <w:rPr>
          <w:sz w:val="24"/>
          <w:szCs w:val="26"/>
        </w:rPr>
        <w:t>. (Figure 2)</w:t>
      </w:r>
    </w:p>
    <w:p w14:paraId="415F8F61" w14:textId="27885D39" w:rsidR="00BC2952" w:rsidRDefault="004E709C" w:rsidP="00BC2952">
      <w:pPr>
        <w:spacing w:line="244" w:lineRule="auto"/>
        <w:ind w:left="426" w:right="521"/>
        <w:rPr>
          <w:rFonts w:ascii="Arial"/>
          <w:i/>
          <w:sz w:val="19"/>
          <w:szCs w:val="19"/>
        </w:rPr>
      </w:pPr>
      <w:r w:rsidRPr="00516639">
        <w:rPr>
          <w:noProof/>
          <w:sz w:val="54"/>
          <w:lang w:val="en-PH" w:eastAsia="en-PH"/>
        </w:rPr>
        <w:drawing>
          <wp:anchor distT="0" distB="0" distL="114300" distR="114300" simplePos="0" relativeHeight="251666432" behindDoc="1" locked="0" layoutInCell="1" allowOverlap="1" wp14:anchorId="356D230F" wp14:editId="7DD9CCD3">
            <wp:simplePos x="0" y="0"/>
            <wp:positionH relativeFrom="margin">
              <wp:posOffset>-238125</wp:posOffset>
            </wp:positionH>
            <wp:positionV relativeFrom="paragraph">
              <wp:posOffset>142240</wp:posOffset>
            </wp:positionV>
            <wp:extent cx="6229350" cy="3443605"/>
            <wp:effectExtent l="0" t="0" r="0" b="4445"/>
            <wp:wrapTight wrapText="bothSides">
              <wp:wrapPolygon edited="0">
                <wp:start x="0" y="0"/>
                <wp:lineTo x="0" y="21508"/>
                <wp:lineTo x="21534" y="21508"/>
                <wp:lineTo x="2153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A72FA62" w14:textId="77777777" w:rsidR="00BC2952" w:rsidRPr="00BC2952" w:rsidRDefault="00BC2952" w:rsidP="00BC2952">
      <w:pPr>
        <w:spacing w:line="244" w:lineRule="auto"/>
        <w:ind w:left="426" w:right="521"/>
        <w:rPr>
          <w:rFonts w:ascii="Arial"/>
          <w:i/>
          <w:sz w:val="12"/>
          <w:szCs w:val="19"/>
        </w:rPr>
      </w:pPr>
    </w:p>
    <w:p w14:paraId="6FCCA9B8" w14:textId="173DD722" w:rsidR="004051D5" w:rsidRPr="00BC2952" w:rsidRDefault="00BC2952" w:rsidP="00BC2952">
      <w:pPr>
        <w:spacing w:line="244" w:lineRule="auto"/>
        <w:ind w:left="426" w:right="521"/>
        <w:rPr>
          <w:rFonts w:ascii="Arial"/>
          <w:i/>
          <w:w w:val="105"/>
          <w:sz w:val="19"/>
          <w:szCs w:val="19"/>
        </w:rPr>
      </w:pPr>
      <w:r w:rsidRPr="00AF78EF">
        <w:rPr>
          <w:rFonts w:ascii="Arial"/>
          <w:i/>
          <w:sz w:val="19"/>
          <w:szCs w:val="19"/>
        </w:rPr>
        <w:t>Source: Retail</w:t>
      </w:r>
      <w:r w:rsidRPr="00AF78EF">
        <w:rPr>
          <w:rFonts w:ascii="Arial"/>
          <w:i/>
          <w:spacing w:val="1"/>
          <w:sz w:val="19"/>
          <w:szCs w:val="19"/>
        </w:rPr>
        <w:t xml:space="preserve"> </w:t>
      </w:r>
      <w:r w:rsidRPr="00AF78EF">
        <w:rPr>
          <w:rFonts w:ascii="Arial"/>
          <w:i/>
          <w:sz w:val="19"/>
          <w:szCs w:val="19"/>
        </w:rPr>
        <w:t>Price Survey of Commodities for</w:t>
      </w:r>
      <w:r w:rsidRPr="00AF78EF">
        <w:rPr>
          <w:rFonts w:ascii="Arial"/>
          <w:i/>
          <w:spacing w:val="1"/>
          <w:sz w:val="19"/>
          <w:szCs w:val="19"/>
        </w:rPr>
        <w:t xml:space="preserve"> </w:t>
      </w:r>
      <w:r w:rsidRPr="00AF78EF">
        <w:rPr>
          <w:rFonts w:ascii="Arial"/>
          <w:i/>
          <w:sz w:val="19"/>
          <w:szCs w:val="19"/>
        </w:rPr>
        <w:t>the Generation</w:t>
      </w:r>
      <w:r w:rsidRPr="00AF78EF">
        <w:rPr>
          <w:rFonts w:ascii="Arial"/>
          <w:i/>
          <w:spacing w:val="1"/>
          <w:sz w:val="19"/>
          <w:szCs w:val="19"/>
        </w:rPr>
        <w:t xml:space="preserve"> </w:t>
      </w:r>
      <w:r w:rsidRPr="00AF78EF">
        <w:rPr>
          <w:rFonts w:ascii="Arial"/>
          <w:i/>
          <w:sz w:val="19"/>
          <w:szCs w:val="19"/>
        </w:rPr>
        <w:t>of Consumer</w:t>
      </w:r>
      <w:r w:rsidRPr="00AF78EF">
        <w:rPr>
          <w:rFonts w:ascii="Arial"/>
          <w:i/>
          <w:spacing w:val="1"/>
          <w:sz w:val="19"/>
          <w:szCs w:val="19"/>
        </w:rPr>
        <w:t xml:space="preserve"> </w:t>
      </w:r>
      <w:r>
        <w:rPr>
          <w:rFonts w:ascii="Arial"/>
          <w:i/>
          <w:sz w:val="19"/>
          <w:szCs w:val="19"/>
        </w:rPr>
        <w:t xml:space="preserve">Price </w:t>
      </w:r>
      <w:r w:rsidRPr="00AF78EF">
        <w:rPr>
          <w:rFonts w:ascii="Arial"/>
          <w:i/>
          <w:sz w:val="19"/>
          <w:szCs w:val="19"/>
        </w:rPr>
        <w:t>Index</w:t>
      </w:r>
      <w:r>
        <w:rPr>
          <w:rFonts w:ascii="Arial"/>
          <w:i/>
          <w:sz w:val="19"/>
          <w:szCs w:val="19"/>
        </w:rPr>
        <w:t xml:space="preserve"> </w:t>
      </w:r>
      <w:r w:rsidRPr="00AF78EF">
        <w:rPr>
          <w:rFonts w:ascii="Arial"/>
          <w:i/>
          <w:w w:val="105"/>
          <w:sz w:val="19"/>
          <w:szCs w:val="19"/>
        </w:rPr>
        <w:t>Philippine Statistics</w:t>
      </w:r>
      <w:r w:rsidRPr="00AF78EF">
        <w:rPr>
          <w:rFonts w:ascii="Arial"/>
          <w:i/>
          <w:spacing w:val="-13"/>
          <w:w w:val="105"/>
          <w:sz w:val="19"/>
          <w:szCs w:val="19"/>
        </w:rPr>
        <w:t xml:space="preserve"> </w:t>
      </w:r>
      <w:r>
        <w:rPr>
          <w:rFonts w:ascii="Arial"/>
          <w:i/>
          <w:w w:val="105"/>
          <w:sz w:val="19"/>
          <w:szCs w:val="19"/>
        </w:rPr>
        <w:t>Authority</w:t>
      </w:r>
    </w:p>
    <w:p w14:paraId="28A620FD" w14:textId="5DCB0A36" w:rsidR="00B46963" w:rsidRPr="00516639" w:rsidRDefault="00B46963" w:rsidP="00F351CA">
      <w:pPr>
        <w:pStyle w:val="BodyText"/>
        <w:spacing w:before="4"/>
        <w:rPr>
          <w:sz w:val="8"/>
        </w:rPr>
      </w:pPr>
    </w:p>
    <w:p w14:paraId="0EFD7B15" w14:textId="34AB7AD0" w:rsidR="007E7348" w:rsidRPr="00516639" w:rsidRDefault="007E7348" w:rsidP="00F351CA">
      <w:pPr>
        <w:pStyle w:val="BodyText"/>
        <w:spacing w:before="4"/>
        <w:rPr>
          <w:sz w:val="41"/>
        </w:rPr>
      </w:pPr>
    </w:p>
    <w:p w14:paraId="08AF4A74" w14:textId="77777777" w:rsidR="00B46963" w:rsidRPr="00516639" w:rsidRDefault="00B46963" w:rsidP="00B46963">
      <w:pPr>
        <w:rPr>
          <w:b/>
          <w:bCs/>
          <w:sz w:val="24"/>
          <w:szCs w:val="20"/>
        </w:rPr>
      </w:pPr>
      <w:r w:rsidRPr="00516639">
        <w:rPr>
          <w:b/>
          <w:bCs/>
          <w:sz w:val="24"/>
          <w:szCs w:val="20"/>
        </w:rPr>
        <w:t>Technical Notes:</w:t>
      </w:r>
    </w:p>
    <w:p w14:paraId="47C7EA21" w14:textId="77777777" w:rsidR="00B46963" w:rsidRPr="00516639" w:rsidRDefault="00B46963" w:rsidP="00B46963">
      <w:pPr>
        <w:rPr>
          <w:sz w:val="24"/>
          <w:szCs w:val="20"/>
        </w:rPr>
      </w:pPr>
    </w:p>
    <w:p w14:paraId="5B6DD159" w14:textId="77777777" w:rsidR="00B46963" w:rsidRPr="00516639" w:rsidRDefault="00B46963" w:rsidP="00B46963">
      <w:pPr>
        <w:jc w:val="both"/>
        <w:rPr>
          <w:sz w:val="24"/>
          <w:szCs w:val="20"/>
        </w:rPr>
      </w:pPr>
      <w:r w:rsidRPr="00516639">
        <w:rPr>
          <w:b/>
          <w:bCs/>
          <w:sz w:val="24"/>
          <w:szCs w:val="20"/>
        </w:rPr>
        <w:t>Consumer Price Index (CPI) -</w:t>
      </w:r>
      <w:r w:rsidRPr="00516639">
        <w:rPr>
          <w:sz w:val="24"/>
          <w:szCs w:val="20"/>
        </w:rPr>
        <w:t xml:space="preserve"> The CPI is an indicator of the change in the average retail prices of a fixed basket of goods and services commonly purchased by households relative to a base year.</w:t>
      </w:r>
    </w:p>
    <w:p w14:paraId="1F05299D" w14:textId="77777777" w:rsidR="00B46963" w:rsidRPr="00516639" w:rsidRDefault="00B46963" w:rsidP="00B46963">
      <w:pPr>
        <w:jc w:val="both"/>
        <w:rPr>
          <w:sz w:val="24"/>
          <w:szCs w:val="20"/>
        </w:rPr>
      </w:pPr>
    </w:p>
    <w:p w14:paraId="241A1D31" w14:textId="7434AFAA" w:rsidR="00B46963" w:rsidRPr="00516639" w:rsidRDefault="00B46963" w:rsidP="00B46963">
      <w:pPr>
        <w:jc w:val="both"/>
        <w:rPr>
          <w:sz w:val="24"/>
          <w:szCs w:val="20"/>
        </w:rPr>
      </w:pPr>
      <w:r w:rsidRPr="00516639">
        <w:rPr>
          <w:b/>
          <w:bCs/>
          <w:sz w:val="24"/>
          <w:szCs w:val="20"/>
        </w:rPr>
        <w:t xml:space="preserve">Inflation Rate (IR) - </w:t>
      </w:r>
      <w:r w:rsidRPr="00516639">
        <w:rPr>
          <w:sz w:val="24"/>
          <w:szCs w:val="20"/>
        </w:rPr>
        <w:t xml:space="preserve">The inflation rate is the annual rate of change, or the year-on-year change of the CPI expressed in percent. Inflation is interpreted in terms of </w:t>
      </w:r>
      <w:r w:rsidR="00FD7AA5">
        <w:rPr>
          <w:sz w:val="24"/>
          <w:szCs w:val="20"/>
        </w:rPr>
        <w:t xml:space="preserve">the </w:t>
      </w:r>
      <w:r w:rsidRPr="00516639">
        <w:rPr>
          <w:sz w:val="24"/>
          <w:szCs w:val="20"/>
        </w:rPr>
        <w:t>declining purchasing power of money.</w:t>
      </w:r>
    </w:p>
    <w:p w14:paraId="18DE9A46" w14:textId="77777777" w:rsidR="00B46963" w:rsidRPr="00516639" w:rsidRDefault="00B46963" w:rsidP="00B46963">
      <w:pPr>
        <w:jc w:val="both"/>
        <w:rPr>
          <w:sz w:val="24"/>
          <w:szCs w:val="20"/>
        </w:rPr>
      </w:pPr>
    </w:p>
    <w:p w14:paraId="2ED12F1F" w14:textId="77777777" w:rsidR="00B46963" w:rsidRPr="00516639" w:rsidRDefault="00B46963" w:rsidP="00B46963">
      <w:pPr>
        <w:jc w:val="both"/>
        <w:rPr>
          <w:sz w:val="24"/>
          <w:szCs w:val="20"/>
        </w:rPr>
      </w:pPr>
      <w:r w:rsidRPr="00516639">
        <w:rPr>
          <w:b/>
          <w:bCs/>
          <w:sz w:val="24"/>
          <w:szCs w:val="20"/>
        </w:rPr>
        <w:t>Headline Inflation</w:t>
      </w:r>
      <w:r w:rsidRPr="00516639">
        <w:rPr>
          <w:sz w:val="24"/>
          <w:szCs w:val="20"/>
        </w:rPr>
        <w:t xml:space="preserve"> - measures changes in the cost of living based on movements in the prices of a specified basket of major commodities. It refers to the annual rate of change or the year-on-year change in the Consumer Price Index (CPI).</w:t>
      </w:r>
    </w:p>
    <w:p w14:paraId="2A097AE0" w14:textId="77777777" w:rsidR="00B46963" w:rsidRPr="00516639" w:rsidRDefault="00B46963" w:rsidP="00B46963">
      <w:pPr>
        <w:jc w:val="both"/>
        <w:rPr>
          <w:sz w:val="24"/>
          <w:szCs w:val="20"/>
        </w:rPr>
      </w:pPr>
    </w:p>
    <w:p w14:paraId="48BBA935" w14:textId="333105D4" w:rsidR="00B46963" w:rsidRPr="00516639" w:rsidRDefault="00B46963" w:rsidP="00B46963">
      <w:pPr>
        <w:jc w:val="both"/>
        <w:rPr>
          <w:sz w:val="24"/>
          <w:szCs w:val="20"/>
        </w:rPr>
      </w:pPr>
      <w:r w:rsidRPr="00516639">
        <w:rPr>
          <w:b/>
          <w:bCs/>
          <w:sz w:val="24"/>
          <w:szCs w:val="20"/>
        </w:rPr>
        <w:t>Purchasing Power of the Peso (PPP) -</w:t>
      </w:r>
      <w:r w:rsidRPr="00516639">
        <w:rPr>
          <w:sz w:val="24"/>
          <w:szCs w:val="20"/>
        </w:rPr>
        <w:t xml:space="preserve"> The purchasing power of the peso shows how much the peso in the base period is worth in the current period. It is computed as the reciprocal of the CPI for the period under review multiplied by 100.</w:t>
      </w:r>
    </w:p>
    <w:p w14:paraId="4B9D5ED5" w14:textId="649D1BE9" w:rsidR="00546C50" w:rsidRDefault="00546C50" w:rsidP="004E709C">
      <w:pPr>
        <w:jc w:val="both"/>
        <w:rPr>
          <w:i/>
          <w:iCs/>
          <w:noProof/>
          <w:sz w:val="20"/>
          <w:szCs w:val="20"/>
          <w:lang w:val="en-PH" w:eastAsia="en-PH"/>
        </w:rPr>
      </w:pPr>
    </w:p>
    <w:p w14:paraId="7A449C3F" w14:textId="159CFEDE" w:rsidR="00D562B2" w:rsidRDefault="00D562B2" w:rsidP="004E709C">
      <w:pPr>
        <w:jc w:val="both"/>
        <w:rPr>
          <w:i/>
          <w:iCs/>
          <w:noProof/>
          <w:sz w:val="20"/>
          <w:szCs w:val="20"/>
          <w:lang w:val="en-PH" w:eastAsia="en-PH"/>
        </w:rPr>
      </w:pPr>
    </w:p>
    <w:p w14:paraId="329B8ED7" w14:textId="677E44DD" w:rsidR="00D562B2" w:rsidRDefault="00D562B2" w:rsidP="004E709C">
      <w:pPr>
        <w:jc w:val="both"/>
        <w:rPr>
          <w:i/>
          <w:iCs/>
          <w:noProof/>
          <w:sz w:val="20"/>
          <w:szCs w:val="20"/>
          <w:lang w:val="en-PH" w:eastAsia="en-PH"/>
        </w:rPr>
      </w:pPr>
    </w:p>
    <w:p w14:paraId="7224C90B" w14:textId="7A09C15B" w:rsidR="00D562B2" w:rsidRDefault="00710BBF" w:rsidP="004E709C">
      <w:pPr>
        <w:jc w:val="both"/>
        <w:rPr>
          <w:i/>
          <w:iCs/>
          <w:noProof/>
          <w:sz w:val="20"/>
          <w:szCs w:val="20"/>
          <w:lang w:val="en-PH" w:eastAsia="en-PH"/>
        </w:rPr>
      </w:pPr>
      <w:bookmarkStart w:id="1" w:name="_GoBack"/>
      <w:bookmarkEnd w:id="1"/>
      <w:r>
        <w:rPr>
          <w:i/>
          <w:iCs/>
          <w:noProof/>
          <w:sz w:val="20"/>
          <w:szCs w:val="20"/>
          <w:lang w:val="en-PH" w:eastAsia="en-PH"/>
        </w:rPr>
        <w:lastRenderedPageBreak/>
        <w:drawing>
          <wp:anchor distT="0" distB="0" distL="114300" distR="114300" simplePos="0" relativeHeight="251668480" behindDoc="1" locked="0" layoutInCell="1" allowOverlap="1" wp14:anchorId="634BB82B" wp14:editId="2BFDAACC">
            <wp:simplePos x="0" y="0"/>
            <wp:positionH relativeFrom="column">
              <wp:posOffset>0</wp:posOffset>
            </wp:positionH>
            <wp:positionV relativeFrom="paragraph">
              <wp:posOffset>0</wp:posOffset>
            </wp:positionV>
            <wp:extent cx="3476625" cy="2114550"/>
            <wp:effectExtent l="0" t="0" r="9525" b="0"/>
            <wp:wrapTight wrapText="bothSides">
              <wp:wrapPolygon edited="0">
                <wp:start x="0" y="0"/>
                <wp:lineTo x="0" y="21405"/>
                <wp:lineTo x="21541" y="21405"/>
                <wp:lineTo x="215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ECIAL RELEASE INFLATION SIGNATURE.JPG"/>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476625" cy="2114550"/>
                    </a:xfrm>
                    <a:prstGeom prst="rect">
                      <a:avLst/>
                    </a:prstGeom>
                  </pic:spPr>
                </pic:pic>
              </a:graphicData>
            </a:graphic>
            <wp14:sizeRelH relativeFrom="page">
              <wp14:pctWidth>0</wp14:pctWidth>
            </wp14:sizeRelH>
            <wp14:sizeRelV relativeFrom="page">
              <wp14:pctHeight>0</wp14:pctHeight>
            </wp14:sizeRelV>
          </wp:anchor>
        </w:drawing>
      </w:r>
    </w:p>
    <w:p w14:paraId="7355382C" w14:textId="77777777" w:rsidR="00D562B2" w:rsidRDefault="00D562B2" w:rsidP="004E709C">
      <w:pPr>
        <w:jc w:val="both"/>
        <w:rPr>
          <w:i/>
          <w:iCs/>
          <w:noProof/>
          <w:sz w:val="20"/>
          <w:szCs w:val="20"/>
          <w:lang w:val="en-PH" w:eastAsia="en-PH"/>
        </w:rPr>
      </w:pPr>
    </w:p>
    <w:sectPr w:rsidR="00D562B2" w:rsidSect="0022397D">
      <w:headerReference w:type="default" r:id="rId14"/>
      <w:footerReference w:type="default" r:id="rId15"/>
      <w:pgSz w:w="11906" w:h="16838" w:code="9"/>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D7A8" w14:textId="77777777" w:rsidR="007529CF" w:rsidRDefault="007529CF" w:rsidP="002342F7">
      <w:r>
        <w:separator/>
      </w:r>
    </w:p>
  </w:endnote>
  <w:endnote w:type="continuationSeparator" w:id="0">
    <w:p w14:paraId="7B0475DB" w14:textId="77777777" w:rsidR="007529CF" w:rsidRDefault="007529CF" w:rsidP="0023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charset w:val="00"/>
    <w:family w:val="roman"/>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504"/>
      <w:docPartObj>
        <w:docPartGallery w:val="Page Numbers (Bottom of Page)"/>
        <w:docPartUnique/>
      </w:docPartObj>
    </w:sdtPr>
    <w:sdtContent>
      <w:sdt>
        <w:sdtPr>
          <w:id w:val="-1705238520"/>
          <w:docPartObj>
            <w:docPartGallery w:val="Page Numbers (Top of Page)"/>
            <w:docPartUnique/>
          </w:docPartObj>
        </w:sdtPr>
        <w:sdtContent>
          <w:p w14:paraId="61C80B09" w14:textId="5D57CBD0" w:rsidR="00C36009" w:rsidRDefault="00C36009" w:rsidP="00A26041">
            <w:pPr>
              <w:pStyle w:val="Footer"/>
              <w:jc w:val="right"/>
            </w:pPr>
            <w:r>
              <w:rPr>
                <w:noProof/>
                <w:lang w:val="en-PH" w:eastAsia="en-PH"/>
              </w:rPr>
              <w:drawing>
                <wp:anchor distT="0" distB="0" distL="114300" distR="114300" simplePos="0" relativeHeight="251660288" behindDoc="1" locked="0" layoutInCell="1" allowOverlap="1" wp14:anchorId="1DFEAD05" wp14:editId="0D5B6CFD">
                  <wp:simplePos x="0" y="0"/>
                  <wp:positionH relativeFrom="column">
                    <wp:posOffset>-379730</wp:posOffset>
                  </wp:positionH>
                  <wp:positionV relativeFrom="paragraph">
                    <wp:posOffset>-617171</wp:posOffset>
                  </wp:positionV>
                  <wp:extent cx="5486400" cy="1377315"/>
                  <wp:effectExtent l="0" t="0" r="0" b="0"/>
                  <wp:wrapTight wrapText="bothSides">
                    <wp:wrapPolygon edited="0">
                      <wp:start x="825" y="5676"/>
                      <wp:lineTo x="825" y="15237"/>
                      <wp:lineTo x="6600" y="15237"/>
                      <wp:lineTo x="10425" y="14639"/>
                      <wp:lineTo x="16650" y="12548"/>
                      <wp:lineTo x="16575" y="11054"/>
                      <wp:lineTo x="17250" y="7170"/>
                      <wp:lineTo x="16200" y="6871"/>
                      <wp:lineTo x="6600" y="5676"/>
                      <wp:lineTo x="825" y="5676"/>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3773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AF785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7853">
              <w:rPr>
                <w:b/>
                <w:bCs/>
                <w:noProof/>
              </w:rPr>
              <w:t>5</w:t>
            </w:r>
            <w:r>
              <w:rPr>
                <w:b/>
                <w:bCs/>
                <w:sz w:val="24"/>
                <w:szCs w:val="24"/>
              </w:rPr>
              <w:fldChar w:fldCharType="end"/>
            </w:r>
          </w:p>
        </w:sdtContent>
      </w:sdt>
    </w:sdtContent>
  </w:sdt>
  <w:p w14:paraId="71513EA9" w14:textId="3FCB08D6" w:rsidR="00C36009" w:rsidRDefault="00C3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45338"/>
      <w:docPartObj>
        <w:docPartGallery w:val="Page Numbers (Bottom of Page)"/>
        <w:docPartUnique/>
      </w:docPartObj>
    </w:sdtPr>
    <w:sdtContent>
      <w:sdt>
        <w:sdtPr>
          <w:id w:val="-300313244"/>
          <w:docPartObj>
            <w:docPartGallery w:val="Page Numbers (Top of Page)"/>
            <w:docPartUnique/>
          </w:docPartObj>
        </w:sdtPr>
        <w:sdtContent>
          <w:p w14:paraId="448257E3" w14:textId="36E16FF0" w:rsidR="00C36009" w:rsidRDefault="00C36009" w:rsidP="00A260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785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7853">
              <w:rPr>
                <w:b/>
                <w:bCs/>
                <w:noProof/>
              </w:rPr>
              <w:t>5</w:t>
            </w:r>
            <w:r>
              <w:rPr>
                <w:b/>
                <w:bCs/>
                <w:sz w:val="24"/>
                <w:szCs w:val="24"/>
              </w:rPr>
              <w:fldChar w:fldCharType="end"/>
            </w:r>
          </w:p>
        </w:sdtContent>
      </w:sdt>
    </w:sdtContent>
  </w:sdt>
  <w:p w14:paraId="57726B24" w14:textId="77777777" w:rsidR="00C36009" w:rsidRDefault="00C3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9946" w14:textId="77777777" w:rsidR="007529CF" w:rsidRDefault="007529CF" w:rsidP="002342F7">
      <w:r>
        <w:separator/>
      </w:r>
    </w:p>
  </w:footnote>
  <w:footnote w:type="continuationSeparator" w:id="0">
    <w:p w14:paraId="6C067F1E" w14:textId="77777777" w:rsidR="007529CF" w:rsidRDefault="007529CF" w:rsidP="0023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E3E4" w14:textId="7B9F1783" w:rsidR="00C36009" w:rsidRDefault="00C36009">
    <w:pPr>
      <w:pStyle w:val="Header"/>
    </w:pPr>
    <w:r>
      <w:rPr>
        <w:noProof/>
        <w:lang w:val="en-PH" w:eastAsia="en-PH"/>
      </w:rPr>
      <w:drawing>
        <wp:anchor distT="0" distB="0" distL="114300" distR="114300" simplePos="0" relativeHeight="251658240" behindDoc="0" locked="0" layoutInCell="1" allowOverlap="1" wp14:anchorId="1FD95CE7" wp14:editId="772C7364">
          <wp:simplePos x="0" y="0"/>
          <wp:positionH relativeFrom="column">
            <wp:posOffset>-561975</wp:posOffset>
          </wp:positionH>
          <wp:positionV relativeFrom="paragraph">
            <wp:posOffset>-206692</wp:posOffset>
          </wp:positionV>
          <wp:extent cx="5624513" cy="9921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992" b="16451"/>
                  <a:stretch/>
                </pic:blipFill>
                <pic:spPr bwMode="auto">
                  <a:xfrm>
                    <a:off x="0" y="0"/>
                    <a:ext cx="5676700" cy="10013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CD64" w14:textId="02D926C3" w:rsidR="00C36009" w:rsidRDefault="00C3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03F9"/>
    <w:multiLevelType w:val="hybridMultilevel"/>
    <w:tmpl w:val="4C888368"/>
    <w:lvl w:ilvl="0" w:tplc="0156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E116C"/>
    <w:multiLevelType w:val="hybridMultilevel"/>
    <w:tmpl w:val="2688B966"/>
    <w:lvl w:ilvl="0" w:tplc="E3E42D02">
      <w:start w:val="1"/>
      <w:numFmt w:val="lowerLetter"/>
      <w:lvlText w:val="%1."/>
      <w:lvlJc w:val="left"/>
      <w:pPr>
        <w:ind w:left="704" w:hanging="42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2" w15:restartNumberingAfterBreak="0">
    <w:nsid w:val="51253541"/>
    <w:multiLevelType w:val="hybridMultilevel"/>
    <w:tmpl w:val="BB8C85E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B534DD2"/>
    <w:multiLevelType w:val="hybridMultilevel"/>
    <w:tmpl w:val="621AE81A"/>
    <w:lvl w:ilvl="0" w:tplc="E3E42D0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E413221"/>
    <w:multiLevelType w:val="hybridMultilevel"/>
    <w:tmpl w:val="CFC2DF78"/>
    <w:lvl w:ilvl="0" w:tplc="944CD1A0">
      <w:numFmt w:val="bullet"/>
      <w:lvlText w:val="*"/>
      <w:lvlJc w:val="left"/>
      <w:pPr>
        <w:ind w:left="309" w:hanging="135"/>
      </w:pPr>
      <w:rPr>
        <w:rFonts w:ascii="Arial" w:eastAsia="Arial" w:hAnsi="Arial" w:cs="Arial" w:hint="default"/>
        <w:b/>
        <w:bCs/>
        <w:i/>
        <w:iCs/>
        <w:w w:val="102"/>
        <w:sz w:val="19"/>
        <w:szCs w:val="19"/>
        <w:lang w:val="en-US" w:eastAsia="en-US" w:bidi="ar-SA"/>
      </w:rPr>
    </w:lvl>
    <w:lvl w:ilvl="1" w:tplc="A38A7B0A">
      <w:start w:val="1"/>
      <w:numFmt w:val="decimal"/>
      <w:lvlText w:val="%2."/>
      <w:lvlJc w:val="left"/>
      <w:pPr>
        <w:ind w:left="719" w:hanging="449"/>
      </w:pPr>
      <w:rPr>
        <w:rFonts w:ascii="Arial" w:eastAsia="Arial" w:hAnsi="Arial" w:cs="Arial" w:hint="default"/>
        <w:b/>
        <w:bCs/>
        <w:spacing w:val="-1"/>
        <w:w w:val="100"/>
        <w:sz w:val="28"/>
        <w:szCs w:val="28"/>
        <w:lang w:val="en-US" w:eastAsia="en-US" w:bidi="ar-SA"/>
      </w:rPr>
    </w:lvl>
    <w:lvl w:ilvl="2" w:tplc="B3123A0E">
      <w:start w:val="1"/>
      <w:numFmt w:val="lowerLetter"/>
      <w:lvlText w:val="%3."/>
      <w:lvlJc w:val="left"/>
      <w:pPr>
        <w:ind w:left="936" w:hanging="360"/>
      </w:pPr>
      <w:rPr>
        <w:rFonts w:ascii="Arial MT" w:eastAsia="Arial MT" w:hAnsi="Arial MT" w:cs="Arial MT" w:hint="default"/>
        <w:spacing w:val="-1"/>
        <w:w w:val="100"/>
        <w:sz w:val="28"/>
        <w:szCs w:val="28"/>
        <w:lang w:val="en-US" w:eastAsia="en-US" w:bidi="ar-SA"/>
      </w:rPr>
    </w:lvl>
    <w:lvl w:ilvl="3" w:tplc="AE92C17C">
      <w:numFmt w:val="bullet"/>
      <w:lvlText w:val="•"/>
      <w:lvlJc w:val="left"/>
      <w:pPr>
        <w:ind w:left="2006" w:hanging="360"/>
      </w:pPr>
      <w:rPr>
        <w:rFonts w:hint="default"/>
        <w:lang w:val="en-US" w:eastAsia="en-US" w:bidi="ar-SA"/>
      </w:rPr>
    </w:lvl>
    <w:lvl w:ilvl="4" w:tplc="528C56CC">
      <w:numFmt w:val="bullet"/>
      <w:lvlText w:val="•"/>
      <w:lvlJc w:val="left"/>
      <w:pPr>
        <w:ind w:left="3072" w:hanging="360"/>
      </w:pPr>
      <w:rPr>
        <w:rFonts w:hint="default"/>
        <w:lang w:val="en-US" w:eastAsia="en-US" w:bidi="ar-SA"/>
      </w:rPr>
    </w:lvl>
    <w:lvl w:ilvl="5" w:tplc="206E6142">
      <w:numFmt w:val="bullet"/>
      <w:lvlText w:val="•"/>
      <w:lvlJc w:val="left"/>
      <w:pPr>
        <w:ind w:left="4139" w:hanging="360"/>
      </w:pPr>
      <w:rPr>
        <w:rFonts w:hint="default"/>
        <w:lang w:val="en-US" w:eastAsia="en-US" w:bidi="ar-SA"/>
      </w:rPr>
    </w:lvl>
    <w:lvl w:ilvl="6" w:tplc="8D36ED10">
      <w:numFmt w:val="bullet"/>
      <w:lvlText w:val="•"/>
      <w:lvlJc w:val="left"/>
      <w:pPr>
        <w:ind w:left="5205" w:hanging="360"/>
      </w:pPr>
      <w:rPr>
        <w:rFonts w:hint="default"/>
        <w:lang w:val="en-US" w:eastAsia="en-US" w:bidi="ar-SA"/>
      </w:rPr>
    </w:lvl>
    <w:lvl w:ilvl="7" w:tplc="29109120">
      <w:numFmt w:val="bullet"/>
      <w:lvlText w:val="•"/>
      <w:lvlJc w:val="left"/>
      <w:pPr>
        <w:ind w:left="6272" w:hanging="360"/>
      </w:pPr>
      <w:rPr>
        <w:rFonts w:hint="default"/>
        <w:lang w:val="en-US" w:eastAsia="en-US" w:bidi="ar-SA"/>
      </w:rPr>
    </w:lvl>
    <w:lvl w:ilvl="8" w:tplc="0EAE86BE">
      <w:numFmt w:val="bullet"/>
      <w:lvlText w:val="•"/>
      <w:lvlJc w:val="left"/>
      <w:pPr>
        <w:ind w:left="7338" w:hanging="360"/>
      </w:pPr>
      <w:rPr>
        <w:rFonts w:hint="default"/>
        <w:lang w:val="en-US" w:eastAsia="en-US" w:bidi="ar-SA"/>
      </w:rPr>
    </w:lvl>
  </w:abstractNum>
  <w:abstractNum w:abstractNumId="5" w15:restartNumberingAfterBreak="0">
    <w:nsid w:val="74CB72C2"/>
    <w:multiLevelType w:val="hybridMultilevel"/>
    <w:tmpl w:val="1B0616B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98D6B4E"/>
    <w:multiLevelType w:val="hybridMultilevel"/>
    <w:tmpl w:val="C0947E1A"/>
    <w:lvl w:ilvl="0" w:tplc="E3E42D0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E40431D"/>
    <w:multiLevelType w:val="hybridMultilevel"/>
    <w:tmpl w:val="A8623ED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F7"/>
    <w:rsid w:val="00010BB2"/>
    <w:rsid w:val="000323C3"/>
    <w:rsid w:val="00051197"/>
    <w:rsid w:val="00067C9B"/>
    <w:rsid w:val="00072517"/>
    <w:rsid w:val="000757B3"/>
    <w:rsid w:val="000A38BA"/>
    <w:rsid w:val="000B12C4"/>
    <w:rsid w:val="000B7E79"/>
    <w:rsid w:val="000C049C"/>
    <w:rsid w:val="000C299F"/>
    <w:rsid w:val="000C2D88"/>
    <w:rsid w:val="000D2C03"/>
    <w:rsid w:val="000D7F58"/>
    <w:rsid w:val="000E0E52"/>
    <w:rsid w:val="000F2CB6"/>
    <w:rsid w:val="000F4238"/>
    <w:rsid w:val="000F52A5"/>
    <w:rsid w:val="000F5CF2"/>
    <w:rsid w:val="001366CD"/>
    <w:rsid w:val="00145C6D"/>
    <w:rsid w:val="00152B25"/>
    <w:rsid w:val="00156ADA"/>
    <w:rsid w:val="00172884"/>
    <w:rsid w:val="001813E3"/>
    <w:rsid w:val="001A613D"/>
    <w:rsid w:val="001B29F3"/>
    <w:rsid w:val="001B52E0"/>
    <w:rsid w:val="001D3C14"/>
    <w:rsid w:val="001E7A47"/>
    <w:rsid w:val="001F039D"/>
    <w:rsid w:val="001F4C09"/>
    <w:rsid w:val="001F4E3F"/>
    <w:rsid w:val="002042B5"/>
    <w:rsid w:val="00207A39"/>
    <w:rsid w:val="00210A8C"/>
    <w:rsid w:val="00213AAB"/>
    <w:rsid w:val="0022397D"/>
    <w:rsid w:val="002342F7"/>
    <w:rsid w:val="00240F79"/>
    <w:rsid w:val="00253B57"/>
    <w:rsid w:val="00280BA3"/>
    <w:rsid w:val="002830A5"/>
    <w:rsid w:val="002839B3"/>
    <w:rsid w:val="00294EA2"/>
    <w:rsid w:val="002A3306"/>
    <w:rsid w:val="002A5FB2"/>
    <w:rsid w:val="002B79E0"/>
    <w:rsid w:val="002B7BD1"/>
    <w:rsid w:val="002B7CC8"/>
    <w:rsid w:val="002C4B24"/>
    <w:rsid w:val="002E04FB"/>
    <w:rsid w:val="002E265A"/>
    <w:rsid w:val="002E7DE4"/>
    <w:rsid w:val="002E7EEC"/>
    <w:rsid w:val="002F1435"/>
    <w:rsid w:val="002F1C03"/>
    <w:rsid w:val="002F6998"/>
    <w:rsid w:val="00300356"/>
    <w:rsid w:val="00301A09"/>
    <w:rsid w:val="00304775"/>
    <w:rsid w:val="00307003"/>
    <w:rsid w:val="0030717C"/>
    <w:rsid w:val="003308BE"/>
    <w:rsid w:val="0035429C"/>
    <w:rsid w:val="00362961"/>
    <w:rsid w:val="0036500E"/>
    <w:rsid w:val="003735AD"/>
    <w:rsid w:val="00384443"/>
    <w:rsid w:val="00384726"/>
    <w:rsid w:val="00385EEF"/>
    <w:rsid w:val="00387662"/>
    <w:rsid w:val="0039539A"/>
    <w:rsid w:val="003A046B"/>
    <w:rsid w:val="003A6F11"/>
    <w:rsid w:val="003C1185"/>
    <w:rsid w:val="003C4DE3"/>
    <w:rsid w:val="003C6AFA"/>
    <w:rsid w:val="003D57F0"/>
    <w:rsid w:val="003E4E3C"/>
    <w:rsid w:val="003E7C98"/>
    <w:rsid w:val="004051D5"/>
    <w:rsid w:val="00412E5A"/>
    <w:rsid w:val="00423E92"/>
    <w:rsid w:val="004275D4"/>
    <w:rsid w:val="00437274"/>
    <w:rsid w:val="00442F12"/>
    <w:rsid w:val="00461E9B"/>
    <w:rsid w:val="00462FF3"/>
    <w:rsid w:val="00471E4E"/>
    <w:rsid w:val="0047557F"/>
    <w:rsid w:val="004831C2"/>
    <w:rsid w:val="00483CAB"/>
    <w:rsid w:val="00486D66"/>
    <w:rsid w:val="004A0574"/>
    <w:rsid w:val="004A47D5"/>
    <w:rsid w:val="004A53D5"/>
    <w:rsid w:val="004A6EC0"/>
    <w:rsid w:val="004B226A"/>
    <w:rsid w:val="004C44DD"/>
    <w:rsid w:val="004D0693"/>
    <w:rsid w:val="004E0F57"/>
    <w:rsid w:val="004E2C45"/>
    <w:rsid w:val="004E709C"/>
    <w:rsid w:val="00501875"/>
    <w:rsid w:val="00503D82"/>
    <w:rsid w:val="00506650"/>
    <w:rsid w:val="00506815"/>
    <w:rsid w:val="00516639"/>
    <w:rsid w:val="0054098B"/>
    <w:rsid w:val="00542A1A"/>
    <w:rsid w:val="005434CB"/>
    <w:rsid w:val="00546139"/>
    <w:rsid w:val="00546C50"/>
    <w:rsid w:val="00565E95"/>
    <w:rsid w:val="00581FC7"/>
    <w:rsid w:val="00595C90"/>
    <w:rsid w:val="005A494C"/>
    <w:rsid w:val="005A77A4"/>
    <w:rsid w:val="005A78DB"/>
    <w:rsid w:val="005C1272"/>
    <w:rsid w:val="005C3AEA"/>
    <w:rsid w:val="005D24DB"/>
    <w:rsid w:val="005D4261"/>
    <w:rsid w:val="005D44C6"/>
    <w:rsid w:val="005D6111"/>
    <w:rsid w:val="005E3018"/>
    <w:rsid w:val="005E7EBF"/>
    <w:rsid w:val="005F4B21"/>
    <w:rsid w:val="00610F9D"/>
    <w:rsid w:val="00616E81"/>
    <w:rsid w:val="00634F03"/>
    <w:rsid w:val="00645BDF"/>
    <w:rsid w:val="00653267"/>
    <w:rsid w:val="00660376"/>
    <w:rsid w:val="00661DD3"/>
    <w:rsid w:val="00662F40"/>
    <w:rsid w:val="00667D3E"/>
    <w:rsid w:val="006731F5"/>
    <w:rsid w:val="00680886"/>
    <w:rsid w:val="006872B0"/>
    <w:rsid w:val="00691221"/>
    <w:rsid w:val="0069501D"/>
    <w:rsid w:val="006A7DC0"/>
    <w:rsid w:val="006C0051"/>
    <w:rsid w:val="006C0F84"/>
    <w:rsid w:val="006D012F"/>
    <w:rsid w:val="006D31F0"/>
    <w:rsid w:val="006D55EE"/>
    <w:rsid w:val="006E0636"/>
    <w:rsid w:val="006E0930"/>
    <w:rsid w:val="006F07AE"/>
    <w:rsid w:val="006F232A"/>
    <w:rsid w:val="006F410B"/>
    <w:rsid w:val="00702410"/>
    <w:rsid w:val="00705755"/>
    <w:rsid w:val="00710BBF"/>
    <w:rsid w:val="00715F07"/>
    <w:rsid w:val="00735292"/>
    <w:rsid w:val="00743C3D"/>
    <w:rsid w:val="00745086"/>
    <w:rsid w:val="00750CE7"/>
    <w:rsid w:val="007529CF"/>
    <w:rsid w:val="00761FF0"/>
    <w:rsid w:val="00775B83"/>
    <w:rsid w:val="007776B6"/>
    <w:rsid w:val="00777CA9"/>
    <w:rsid w:val="00777D34"/>
    <w:rsid w:val="00794148"/>
    <w:rsid w:val="007941E8"/>
    <w:rsid w:val="007A0B5B"/>
    <w:rsid w:val="007A2C7A"/>
    <w:rsid w:val="007A2E74"/>
    <w:rsid w:val="007A5B4D"/>
    <w:rsid w:val="007B0319"/>
    <w:rsid w:val="007B1DDC"/>
    <w:rsid w:val="007D6147"/>
    <w:rsid w:val="007E5312"/>
    <w:rsid w:val="007E7348"/>
    <w:rsid w:val="007F0209"/>
    <w:rsid w:val="007F319F"/>
    <w:rsid w:val="007F7F2C"/>
    <w:rsid w:val="008058B5"/>
    <w:rsid w:val="00835B76"/>
    <w:rsid w:val="0083731E"/>
    <w:rsid w:val="00841F64"/>
    <w:rsid w:val="00847F60"/>
    <w:rsid w:val="00854B1A"/>
    <w:rsid w:val="00861586"/>
    <w:rsid w:val="008830D9"/>
    <w:rsid w:val="008841B7"/>
    <w:rsid w:val="00895300"/>
    <w:rsid w:val="008A2395"/>
    <w:rsid w:val="008A7997"/>
    <w:rsid w:val="008E37A3"/>
    <w:rsid w:val="008F37E8"/>
    <w:rsid w:val="00902FFB"/>
    <w:rsid w:val="00922542"/>
    <w:rsid w:val="009228C3"/>
    <w:rsid w:val="00922F00"/>
    <w:rsid w:val="00926912"/>
    <w:rsid w:val="00941831"/>
    <w:rsid w:val="00942721"/>
    <w:rsid w:val="009453DA"/>
    <w:rsid w:val="00955CE5"/>
    <w:rsid w:val="00962BA5"/>
    <w:rsid w:val="00964887"/>
    <w:rsid w:val="009738CD"/>
    <w:rsid w:val="00975588"/>
    <w:rsid w:val="00980D7D"/>
    <w:rsid w:val="009831A9"/>
    <w:rsid w:val="00991CC8"/>
    <w:rsid w:val="009934E3"/>
    <w:rsid w:val="00993933"/>
    <w:rsid w:val="009A483F"/>
    <w:rsid w:val="009C057D"/>
    <w:rsid w:val="009C10A4"/>
    <w:rsid w:val="009C1137"/>
    <w:rsid w:val="009C6FF4"/>
    <w:rsid w:val="009C7B9D"/>
    <w:rsid w:val="009E4B23"/>
    <w:rsid w:val="009F2060"/>
    <w:rsid w:val="009F5969"/>
    <w:rsid w:val="00A028D2"/>
    <w:rsid w:val="00A114B0"/>
    <w:rsid w:val="00A16E74"/>
    <w:rsid w:val="00A2140D"/>
    <w:rsid w:val="00A26041"/>
    <w:rsid w:val="00A372C3"/>
    <w:rsid w:val="00A4717E"/>
    <w:rsid w:val="00A53834"/>
    <w:rsid w:val="00A54609"/>
    <w:rsid w:val="00A612DD"/>
    <w:rsid w:val="00A831E1"/>
    <w:rsid w:val="00A91856"/>
    <w:rsid w:val="00AA5ED7"/>
    <w:rsid w:val="00AB3225"/>
    <w:rsid w:val="00AC3E7D"/>
    <w:rsid w:val="00AC68B9"/>
    <w:rsid w:val="00AD7D01"/>
    <w:rsid w:val="00AE4A91"/>
    <w:rsid w:val="00AE7581"/>
    <w:rsid w:val="00AF0EEC"/>
    <w:rsid w:val="00AF2EF1"/>
    <w:rsid w:val="00AF7853"/>
    <w:rsid w:val="00AF78EF"/>
    <w:rsid w:val="00B00B4D"/>
    <w:rsid w:val="00B018D9"/>
    <w:rsid w:val="00B03C2B"/>
    <w:rsid w:val="00B067A9"/>
    <w:rsid w:val="00B14646"/>
    <w:rsid w:val="00B322C2"/>
    <w:rsid w:val="00B33F7A"/>
    <w:rsid w:val="00B46963"/>
    <w:rsid w:val="00B540CE"/>
    <w:rsid w:val="00B64982"/>
    <w:rsid w:val="00B74F78"/>
    <w:rsid w:val="00B800EA"/>
    <w:rsid w:val="00B87C4D"/>
    <w:rsid w:val="00BB06EA"/>
    <w:rsid w:val="00BB1710"/>
    <w:rsid w:val="00BC2952"/>
    <w:rsid w:val="00BE1865"/>
    <w:rsid w:val="00BE24D0"/>
    <w:rsid w:val="00BF16AF"/>
    <w:rsid w:val="00BF1953"/>
    <w:rsid w:val="00BF6699"/>
    <w:rsid w:val="00BF7143"/>
    <w:rsid w:val="00C10C42"/>
    <w:rsid w:val="00C207ED"/>
    <w:rsid w:val="00C21CC7"/>
    <w:rsid w:val="00C25D42"/>
    <w:rsid w:val="00C36009"/>
    <w:rsid w:val="00C5423A"/>
    <w:rsid w:val="00C562DB"/>
    <w:rsid w:val="00C57456"/>
    <w:rsid w:val="00C70AAF"/>
    <w:rsid w:val="00C72530"/>
    <w:rsid w:val="00C84280"/>
    <w:rsid w:val="00CA45A7"/>
    <w:rsid w:val="00CA5EDA"/>
    <w:rsid w:val="00CC6FA4"/>
    <w:rsid w:val="00CD517E"/>
    <w:rsid w:val="00CD5B52"/>
    <w:rsid w:val="00CE1C02"/>
    <w:rsid w:val="00CE2028"/>
    <w:rsid w:val="00CE4E16"/>
    <w:rsid w:val="00CE5448"/>
    <w:rsid w:val="00CF0D3B"/>
    <w:rsid w:val="00CF5985"/>
    <w:rsid w:val="00D05BF0"/>
    <w:rsid w:val="00D07241"/>
    <w:rsid w:val="00D1385A"/>
    <w:rsid w:val="00D14C99"/>
    <w:rsid w:val="00D234B5"/>
    <w:rsid w:val="00D26B32"/>
    <w:rsid w:val="00D43810"/>
    <w:rsid w:val="00D43CF7"/>
    <w:rsid w:val="00D5480F"/>
    <w:rsid w:val="00D562B2"/>
    <w:rsid w:val="00D60614"/>
    <w:rsid w:val="00D60FD2"/>
    <w:rsid w:val="00D61354"/>
    <w:rsid w:val="00D61A5F"/>
    <w:rsid w:val="00D61E6E"/>
    <w:rsid w:val="00D70CFA"/>
    <w:rsid w:val="00D8098A"/>
    <w:rsid w:val="00D83A1A"/>
    <w:rsid w:val="00D85128"/>
    <w:rsid w:val="00D852C9"/>
    <w:rsid w:val="00D85FC9"/>
    <w:rsid w:val="00D945C5"/>
    <w:rsid w:val="00DA35E1"/>
    <w:rsid w:val="00DA5E6B"/>
    <w:rsid w:val="00DB420F"/>
    <w:rsid w:val="00DB4E79"/>
    <w:rsid w:val="00DC7E43"/>
    <w:rsid w:val="00DD35CE"/>
    <w:rsid w:val="00DE3AC0"/>
    <w:rsid w:val="00DE720D"/>
    <w:rsid w:val="00E03EDC"/>
    <w:rsid w:val="00E23BBF"/>
    <w:rsid w:val="00E2697D"/>
    <w:rsid w:val="00E336D6"/>
    <w:rsid w:val="00E33B19"/>
    <w:rsid w:val="00E3564B"/>
    <w:rsid w:val="00E453FB"/>
    <w:rsid w:val="00E61F1D"/>
    <w:rsid w:val="00E7246A"/>
    <w:rsid w:val="00E73B5C"/>
    <w:rsid w:val="00E82378"/>
    <w:rsid w:val="00E85FCD"/>
    <w:rsid w:val="00E86713"/>
    <w:rsid w:val="00E9097B"/>
    <w:rsid w:val="00EB037B"/>
    <w:rsid w:val="00EB154A"/>
    <w:rsid w:val="00EB26E1"/>
    <w:rsid w:val="00EB39FF"/>
    <w:rsid w:val="00EC56C5"/>
    <w:rsid w:val="00EE346B"/>
    <w:rsid w:val="00EF2B7F"/>
    <w:rsid w:val="00F06DA4"/>
    <w:rsid w:val="00F14D73"/>
    <w:rsid w:val="00F165FE"/>
    <w:rsid w:val="00F238C9"/>
    <w:rsid w:val="00F261A5"/>
    <w:rsid w:val="00F30928"/>
    <w:rsid w:val="00F351CA"/>
    <w:rsid w:val="00F436E2"/>
    <w:rsid w:val="00F80C69"/>
    <w:rsid w:val="00F8281F"/>
    <w:rsid w:val="00F84AC8"/>
    <w:rsid w:val="00F86305"/>
    <w:rsid w:val="00F92395"/>
    <w:rsid w:val="00F95D24"/>
    <w:rsid w:val="00FB18FE"/>
    <w:rsid w:val="00FB7689"/>
    <w:rsid w:val="00FC6483"/>
    <w:rsid w:val="00FC71B6"/>
    <w:rsid w:val="00FC774C"/>
    <w:rsid w:val="00FD1AD9"/>
    <w:rsid w:val="00FD509E"/>
    <w:rsid w:val="00FD7AA5"/>
    <w:rsid w:val="00FD7D80"/>
    <w:rsid w:val="00FE18B3"/>
    <w:rsid w:val="00FE50EC"/>
    <w:rsid w:val="00FF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B2559"/>
  <w15:chartTrackingRefBased/>
  <w15:docId w15:val="{2C56EA74-040E-453A-BC35-16E6EC9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2F7"/>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9"/>
    <w:qFormat/>
    <w:rsid w:val="00F351CA"/>
    <w:pPr>
      <w:ind w:left="719"/>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F7"/>
    <w:pPr>
      <w:tabs>
        <w:tab w:val="center" w:pos="4680"/>
        <w:tab w:val="right" w:pos="9360"/>
      </w:tabs>
    </w:pPr>
  </w:style>
  <w:style w:type="character" w:customStyle="1" w:styleId="HeaderChar">
    <w:name w:val="Header Char"/>
    <w:basedOn w:val="DefaultParagraphFont"/>
    <w:link w:val="Header"/>
    <w:uiPriority w:val="99"/>
    <w:rsid w:val="002342F7"/>
  </w:style>
  <w:style w:type="paragraph" w:styleId="Footer">
    <w:name w:val="footer"/>
    <w:basedOn w:val="Normal"/>
    <w:link w:val="FooterChar"/>
    <w:uiPriority w:val="99"/>
    <w:unhideWhenUsed/>
    <w:rsid w:val="002342F7"/>
    <w:pPr>
      <w:tabs>
        <w:tab w:val="center" w:pos="4680"/>
        <w:tab w:val="right" w:pos="9360"/>
      </w:tabs>
    </w:pPr>
  </w:style>
  <w:style w:type="character" w:customStyle="1" w:styleId="FooterChar">
    <w:name w:val="Footer Char"/>
    <w:basedOn w:val="DefaultParagraphFont"/>
    <w:link w:val="Footer"/>
    <w:uiPriority w:val="99"/>
    <w:rsid w:val="002342F7"/>
  </w:style>
  <w:style w:type="table" w:styleId="TableGrid">
    <w:name w:val="Table Grid"/>
    <w:basedOn w:val="TableNormal"/>
    <w:uiPriority w:val="39"/>
    <w:rsid w:val="00F2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38C9"/>
    <w:pPr>
      <w:spacing w:before="39"/>
      <w:ind w:left="603"/>
    </w:pPr>
  </w:style>
  <w:style w:type="paragraph" w:styleId="ListParagraph">
    <w:name w:val="List Paragraph"/>
    <w:basedOn w:val="Normal"/>
    <w:uiPriority w:val="1"/>
    <w:qFormat/>
    <w:rsid w:val="00F238C9"/>
    <w:pPr>
      <w:spacing w:line="322" w:lineRule="exact"/>
      <w:ind w:left="936" w:hanging="361"/>
    </w:pPr>
  </w:style>
  <w:style w:type="paragraph" w:styleId="BodyText">
    <w:name w:val="Body Text"/>
    <w:basedOn w:val="Normal"/>
    <w:link w:val="BodyTextChar"/>
    <w:uiPriority w:val="1"/>
    <w:unhideWhenUsed/>
    <w:qFormat/>
    <w:rsid w:val="00C57456"/>
    <w:rPr>
      <w:sz w:val="28"/>
      <w:szCs w:val="28"/>
    </w:rPr>
  </w:style>
  <w:style w:type="character" w:customStyle="1" w:styleId="BodyTextChar">
    <w:name w:val="Body Text Char"/>
    <w:basedOn w:val="DefaultParagraphFont"/>
    <w:link w:val="BodyText"/>
    <w:uiPriority w:val="1"/>
    <w:rsid w:val="00C57456"/>
    <w:rPr>
      <w:rFonts w:ascii="Arial MT" w:eastAsia="Arial MT" w:hAnsi="Arial MT" w:cs="Arial MT"/>
      <w:sz w:val="28"/>
      <w:szCs w:val="28"/>
    </w:rPr>
  </w:style>
  <w:style w:type="character" w:customStyle="1" w:styleId="Heading1Char">
    <w:name w:val="Heading 1 Char"/>
    <w:basedOn w:val="DefaultParagraphFont"/>
    <w:link w:val="Heading1"/>
    <w:uiPriority w:val="9"/>
    <w:rsid w:val="00F351CA"/>
    <w:rPr>
      <w:rFonts w:ascii="Arial" w:eastAsia="Arial" w:hAnsi="Arial" w:cs="Arial"/>
      <w:b/>
      <w:bCs/>
      <w:sz w:val="28"/>
      <w:szCs w:val="28"/>
    </w:rPr>
  </w:style>
  <w:style w:type="paragraph" w:styleId="BalloonText">
    <w:name w:val="Balloon Text"/>
    <w:basedOn w:val="Normal"/>
    <w:link w:val="BalloonTextChar"/>
    <w:uiPriority w:val="99"/>
    <w:semiHidden/>
    <w:unhideWhenUsed/>
    <w:rsid w:val="002B7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9E0"/>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4674">
      <w:bodyDiv w:val="1"/>
      <w:marLeft w:val="0"/>
      <w:marRight w:val="0"/>
      <w:marTop w:val="0"/>
      <w:marBottom w:val="0"/>
      <w:divBdr>
        <w:top w:val="none" w:sz="0" w:space="0" w:color="auto"/>
        <w:left w:val="none" w:sz="0" w:space="0" w:color="auto"/>
        <w:bottom w:val="none" w:sz="0" w:space="0" w:color="auto"/>
        <w:right w:val="none" w:sz="0" w:space="0" w:color="auto"/>
      </w:divBdr>
    </w:div>
    <w:div w:id="988828220">
      <w:bodyDiv w:val="1"/>
      <w:marLeft w:val="0"/>
      <w:marRight w:val="0"/>
      <w:marTop w:val="0"/>
      <w:marBottom w:val="0"/>
      <w:divBdr>
        <w:top w:val="none" w:sz="0" w:space="0" w:color="auto"/>
        <w:left w:val="none" w:sz="0" w:space="0" w:color="auto"/>
        <w:bottom w:val="none" w:sz="0" w:space="0" w:color="auto"/>
        <w:right w:val="none" w:sz="0" w:space="0" w:color="auto"/>
      </w:divBdr>
    </w:div>
    <w:div w:id="1123302720">
      <w:bodyDiv w:val="1"/>
      <w:marLeft w:val="0"/>
      <w:marRight w:val="0"/>
      <w:marTop w:val="0"/>
      <w:marBottom w:val="0"/>
      <w:divBdr>
        <w:top w:val="none" w:sz="0" w:space="0" w:color="auto"/>
        <w:left w:val="none" w:sz="0" w:space="0" w:color="auto"/>
        <w:bottom w:val="none" w:sz="0" w:space="0" w:color="auto"/>
        <w:right w:val="none" w:sz="0" w:space="0" w:color="auto"/>
      </w:divBdr>
    </w:div>
    <w:div w:id="1477139962">
      <w:bodyDiv w:val="1"/>
      <w:marLeft w:val="0"/>
      <w:marRight w:val="0"/>
      <w:marTop w:val="0"/>
      <w:marBottom w:val="0"/>
      <w:divBdr>
        <w:top w:val="none" w:sz="0" w:space="0" w:color="auto"/>
        <w:left w:val="none" w:sz="0" w:space="0" w:color="auto"/>
        <w:bottom w:val="none" w:sz="0" w:space="0" w:color="auto"/>
        <w:right w:val="none" w:sz="0" w:space="0" w:color="auto"/>
      </w:divBdr>
    </w:div>
    <w:div w:id="1827090065">
      <w:bodyDiv w:val="1"/>
      <w:marLeft w:val="0"/>
      <w:marRight w:val="0"/>
      <w:marTop w:val="0"/>
      <w:marBottom w:val="0"/>
      <w:divBdr>
        <w:top w:val="none" w:sz="0" w:space="0" w:color="auto"/>
        <w:left w:val="none" w:sz="0" w:space="0" w:color="auto"/>
        <w:bottom w:val="none" w:sz="0" w:space="0" w:color="auto"/>
        <w:right w:val="none" w:sz="0" w:space="0" w:color="auto"/>
      </w:divBdr>
    </w:div>
    <w:div w:id="1976324597">
      <w:bodyDiv w:val="1"/>
      <w:marLeft w:val="0"/>
      <w:marRight w:val="0"/>
      <w:marTop w:val="0"/>
      <w:marBottom w:val="0"/>
      <w:divBdr>
        <w:top w:val="none" w:sz="0" w:space="0" w:color="auto"/>
        <w:left w:val="none" w:sz="0" w:space="0" w:color="auto"/>
        <w:bottom w:val="none" w:sz="0" w:space="0" w:color="auto"/>
        <w:right w:val="none" w:sz="0" w:space="0" w:color="auto"/>
      </w:divBdr>
    </w:div>
    <w:div w:id="21410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latin typeface="Arial" panose="020B0604020202020204" pitchFamily="34" charset="0"/>
                <a:cs typeface="Arial" panose="020B0604020202020204" pitchFamily="34" charset="0"/>
              </a:rPr>
              <a:t>Figure 1. Headline Inflation Rates in the Davao del</a:t>
            </a:r>
            <a:r>
              <a:rPr lang="en-US" sz="1400" b="1" baseline="0">
                <a:effectLst/>
                <a:latin typeface="Arial" panose="020B0604020202020204" pitchFamily="34" charset="0"/>
                <a:cs typeface="Arial" panose="020B0604020202020204" pitchFamily="34" charset="0"/>
              </a:rPr>
              <a:t> Sur</a:t>
            </a:r>
            <a:r>
              <a:rPr lang="en-US" sz="1400" b="1">
                <a:effectLst/>
                <a:latin typeface="Arial" panose="020B0604020202020204" pitchFamily="34" charset="0"/>
                <a:cs typeface="Arial" panose="020B0604020202020204" pitchFamily="34" charset="0"/>
              </a:rPr>
              <a:t>, All Items (2018=100)</a:t>
            </a:r>
            <a:endParaRPr lang="en-US" sz="14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Davao del Sur</c:v>
                </c:pt>
              </c:strCache>
            </c:strRef>
          </c:tx>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August</c:v>
                </c:pt>
                <c:pt idx="1">
                  <c:v>September</c:v>
                </c:pt>
                <c:pt idx="2">
                  <c:v>October</c:v>
                </c:pt>
                <c:pt idx="3">
                  <c:v>November</c:v>
                </c:pt>
                <c:pt idx="4">
                  <c:v>December</c:v>
                </c:pt>
                <c:pt idx="5">
                  <c:v>January 2023</c:v>
                </c:pt>
                <c:pt idx="6">
                  <c:v>February</c:v>
                </c:pt>
                <c:pt idx="7">
                  <c:v>March</c:v>
                </c:pt>
                <c:pt idx="8">
                  <c:v>April</c:v>
                </c:pt>
                <c:pt idx="9">
                  <c:v>May</c:v>
                </c:pt>
                <c:pt idx="10">
                  <c:v>June</c:v>
                </c:pt>
                <c:pt idx="11">
                  <c:v>July</c:v>
                </c:pt>
                <c:pt idx="12">
                  <c:v>August</c:v>
                </c:pt>
              </c:strCache>
            </c:strRef>
          </c:cat>
          <c:val>
            <c:numRef>
              <c:f>Sheet1!$B$2:$B$14</c:f>
              <c:numCache>
                <c:formatCode>#,##0.0;[Red]\(#,##0.0\)</c:formatCode>
                <c:ptCount val="13"/>
                <c:pt idx="0">
                  <c:v>8.3000000000000007</c:v>
                </c:pt>
                <c:pt idx="1">
                  <c:v>9.9</c:v>
                </c:pt>
                <c:pt idx="2" formatCode="General">
                  <c:v>10.5</c:v>
                </c:pt>
                <c:pt idx="3">
                  <c:v>11.4</c:v>
                </c:pt>
                <c:pt idx="4" formatCode="General">
                  <c:v>9.8000000000000007</c:v>
                </c:pt>
                <c:pt idx="5">
                  <c:v>9.9</c:v>
                </c:pt>
                <c:pt idx="6">
                  <c:v>9.4</c:v>
                </c:pt>
                <c:pt idx="7">
                  <c:v>7.2</c:v>
                </c:pt>
                <c:pt idx="8">
                  <c:v>6.4</c:v>
                </c:pt>
                <c:pt idx="9">
                  <c:v>5</c:v>
                </c:pt>
                <c:pt idx="10">
                  <c:v>4.5999999999999996</c:v>
                </c:pt>
                <c:pt idx="11" formatCode="General">
                  <c:v>2.7</c:v>
                </c:pt>
                <c:pt idx="12" formatCode="General">
                  <c:v>3.1</c:v>
                </c:pt>
              </c:numCache>
            </c:numRef>
          </c:val>
          <c:smooth val="0"/>
          <c:extLst>
            <c:ext xmlns:c16="http://schemas.microsoft.com/office/drawing/2014/chart" uri="{C3380CC4-5D6E-409C-BE32-E72D297353CC}">
              <c16:uniqueId val="{00000000-2B36-4773-B812-A8D07B11F034}"/>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a:t>
                </a:r>
                <a:r>
                  <a:rPr lang="en-US" baseline="0"/>
                  <a:t> Percent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latin typeface="Arial" panose="020B0604020202020204" pitchFamily="34" charset="0"/>
                <a:cs typeface="Arial" panose="020B0604020202020204" pitchFamily="34" charset="0"/>
              </a:rPr>
              <a:t>Figure 2. Purchasing Power of Peso in Davao del Sur (2018=100)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Davao del Sur</c:v>
                </c:pt>
              </c:strCache>
            </c:strRef>
          </c:tx>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August</c:v>
                </c:pt>
                <c:pt idx="1">
                  <c:v>September</c:v>
                </c:pt>
                <c:pt idx="2">
                  <c:v>October</c:v>
                </c:pt>
                <c:pt idx="3">
                  <c:v>November</c:v>
                </c:pt>
                <c:pt idx="4">
                  <c:v>December</c:v>
                </c:pt>
                <c:pt idx="5">
                  <c:v>January
2023</c:v>
                </c:pt>
                <c:pt idx="6">
                  <c:v>February</c:v>
                </c:pt>
                <c:pt idx="7">
                  <c:v>March</c:v>
                </c:pt>
                <c:pt idx="8">
                  <c:v>April</c:v>
                </c:pt>
                <c:pt idx="9">
                  <c:v>May</c:v>
                </c:pt>
                <c:pt idx="10">
                  <c:v>June</c:v>
                </c:pt>
                <c:pt idx="11">
                  <c:v>July</c:v>
                </c:pt>
                <c:pt idx="12">
                  <c:v>August</c:v>
                </c:pt>
              </c:strCache>
            </c:strRef>
          </c:cat>
          <c:val>
            <c:numRef>
              <c:f>Sheet1!$B$2:$B$14</c:f>
              <c:numCache>
                <c:formatCode>General</c:formatCode>
                <c:ptCount val="13"/>
                <c:pt idx="0">
                  <c:v>0.84</c:v>
                </c:pt>
                <c:pt idx="1">
                  <c:v>0.83</c:v>
                </c:pt>
                <c:pt idx="2">
                  <c:v>0.83</c:v>
                </c:pt>
                <c:pt idx="3" formatCode="0.00">
                  <c:v>0.82</c:v>
                </c:pt>
                <c:pt idx="4">
                  <c:v>0.83</c:v>
                </c:pt>
                <c:pt idx="5">
                  <c:v>0.82</c:v>
                </c:pt>
                <c:pt idx="6">
                  <c:v>0.82</c:v>
                </c:pt>
                <c:pt idx="7">
                  <c:v>0.82</c:v>
                </c:pt>
                <c:pt idx="8">
                  <c:v>0.83</c:v>
                </c:pt>
                <c:pt idx="9">
                  <c:v>0.82</c:v>
                </c:pt>
                <c:pt idx="10">
                  <c:v>0.82</c:v>
                </c:pt>
                <c:pt idx="11">
                  <c:v>0.82</c:v>
                </c:pt>
                <c:pt idx="12">
                  <c:v>0.81</c:v>
                </c:pt>
              </c:numCache>
            </c:numRef>
          </c:val>
          <c:smooth val="0"/>
          <c:extLst>
            <c:ext xmlns:c16="http://schemas.microsoft.com/office/drawing/2014/chart" uri="{C3380CC4-5D6E-409C-BE32-E72D297353CC}">
              <c16:uniqueId val="{00000000-CE1C-459C-ACEB-ACF19C2DD034}"/>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a:t>
                </a:r>
                <a:r>
                  <a:rPr lang="en-US" baseline="0"/>
                  <a:t> (In Ph Peso)</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4A12-EFE6-4E38-856B-399E2219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PSADVSUR-Marz</cp:lastModifiedBy>
  <cp:revision>6</cp:revision>
  <cp:lastPrinted>2023-09-06T07:09:00Z</cp:lastPrinted>
  <dcterms:created xsi:type="dcterms:W3CDTF">2023-09-06T01:24:00Z</dcterms:created>
  <dcterms:modified xsi:type="dcterms:W3CDTF">2023-09-06T07:25:00Z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3091a393e5a5beb938838107587db09c81f35c68042d3c0117cb205647e579a6</vt:lpwstr>
  </property>
</Properties>
</file>